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87B1AC" w14:textId="7A130EBF" w:rsidR="009866D7" w:rsidRPr="009866D7" w:rsidRDefault="00000000" w:rsidP="009866D7">
      <w:pPr>
        <w:rPr>
          <w:rFonts w:ascii="Calibri" w:hAnsi="Calibri" w:cs="Calibri"/>
          <w:b/>
          <w:bCs/>
          <w:color w:val="FFFFFF" w:themeColor="background1"/>
          <w:sz w:val="52"/>
          <w:szCs w:val="52"/>
          <w:lang w:val="fr-FR"/>
        </w:rPr>
      </w:pPr>
      <w:r>
        <w:rPr>
          <w:rFonts w:ascii="Calibri" w:hAnsi="Calibri" w:cs="Calibri"/>
          <w:b/>
          <w:bCs/>
          <w:noProof/>
        </w:rPr>
        <w:pict w14:anchorId="08E267E4">
          <v:roundrect id="Zone de texte 2" o:spid="_x0000_s1028" style="position:absolute;margin-left:-5.45pt;margin-top:99pt;width:457.9pt;height:56.65pt;z-index:251661312;visibility:visible;mso-height-percent:200;mso-wrap-distance-left:9pt;mso-wrap-distance-top:3.6pt;mso-wrap-distance-right:9pt;mso-wrap-distance-bottom:3.6pt;mso-position-horizontal-relative:margin;mso-position-vertical-relative:text;mso-height-percent:200;mso-width-relative:margin;mso-height-relative:margin;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" fillcolor="#deeaf6 [660]" strokecolor="#deeaf6 [660]">
            <v:stroke joinstyle="miter"/>
            <v:textbox style="mso-next-textbox:#Zone de texte 2;mso-fit-shape-to-text:t">
              <w:txbxContent>
                <w:p w14:paraId="256EFFFF" w14:textId="47F825A2" w:rsidR="009E43DA" w:rsidRPr="00FC7FB6" w:rsidRDefault="00FC7FB6" w:rsidP="009E43DA">
                  <w:pPr>
                    <w:rPr>
                      <w:rFonts w:asciiTheme="majorHAnsi" w:hAnsiTheme="majorHAnsi" w:cstheme="majorHAnsi"/>
                      <w:b/>
                      <w:i/>
                    </w:rPr>
                  </w:pPr>
                  <w:r>
                    <w:rPr>
                      <w:b/>
                      <w:i/>
                    </w:rPr>
                    <w:t>„</w:t>
                  </w:r>
                  <w:r w:rsidRPr="00FC7FB6">
                    <w:rPr>
                      <w:rFonts w:asciiTheme="majorHAnsi" w:hAnsiTheme="majorHAnsi" w:cstheme="majorHAnsi"/>
                      <w:b/>
                      <w:i/>
                    </w:rPr>
                    <w:t>Lidská důstojnost</w:t>
                  </w:r>
                </w:p>
                <w:p w14:paraId="2E5F9402" w14:textId="77777777" w:rsidR="009E43DA" w:rsidRPr="00FC7FB6" w:rsidRDefault="009E43DA" w:rsidP="009E43DA">
                  <w:pPr>
                    <w:jc w:val="both"/>
                    <w:rPr>
                      <w:rFonts w:asciiTheme="majorHAnsi" w:hAnsiTheme="majorHAnsi" w:cstheme="majorHAnsi"/>
                    </w:rPr>
                  </w:pPr>
                </w:p>
                <w:p w14:paraId="23BDD750" w14:textId="45F002F4" w:rsidR="009E43DA" w:rsidRPr="00FC7FB6" w:rsidRDefault="00FC7FB6" w:rsidP="009E43DA">
                  <w:pPr>
                    <w:rPr>
                      <w:rFonts w:ascii="Calibri" w:hAnsi="Calibri" w:cs="Calibri"/>
                      <w:i/>
                    </w:rPr>
                  </w:pPr>
                  <w:r w:rsidRPr="00FC7FB6">
                    <w:rPr>
                      <w:rFonts w:ascii="Calibri" w:hAnsi="Calibri" w:cs="Calibri"/>
                      <w:i/>
                    </w:rPr>
                    <w:t>Lidská důstojnost je nedotknutelná. Musí být respektována a chráněna</w:t>
                  </w:r>
                  <w:r w:rsidR="009E43DA" w:rsidRPr="00FC7FB6">
                    <w:rPr>
                      <w:rFonts w:ascii="Calibri" w:hAnsi="Calibri" w:cs="Calibri"/>
                      <w:i/>
                    </w:rPr>
                    <w:t>.</w:t>
                  </w:r>
                  <w:r>
                    <w:rPr>
                      <w:rFonts w:ascii="Calibri" w:hAnsi="Calibri" w:cs="Calibri"/>
                      <w:i/>
                    </w:rPr>
                    <w:t>“</w:t>
                  </w:r>
                </w:p>
              </w:txbxContent>
            </v:textbox>
            <w10:wrap type="square" anchorx="margin"/>
          </v:roundrect>
        </w:pict>
      </w:r>
      <w:r w:rsidR="009866D7">
        <w:rPr>
          <w:rFonts w:ascii="Calibri" w:hAnsi="Calibri" w:cs="Calibri"/>
          <w:b/>
          <w:bCs/>
          <w:noProof/>
          <w:lang w:val="en-US"/>
        </w:rPr>
        <w:drawing>
          <wp:anchor distT="0" distB="0" distL="114300" distR="114300" simplePos="0" relativeHeight="251658240" behindDoc="1" locked="0" layoutInCell="1" allowOverlap="1" wp14:anchorId="5CB7EEE5" wp14:editId="0D4A0F65">
            <wp:simplePos x="0" y="0"/>
            <wp:positionH relativeFrom="page">
              <wp:posOffset>2020</wp:posOffset>
            </wp:positionH>
            <wp:positionV relativeFrom="paragraph">
              <wp:posOffset>-911745</wp:posOffset>
            </wp:positionV>
            <wp:extent cx="7558500" cy="1797269"/>
            <wp:effectExtent l="0" t="0" r="4445" b="0"/>
            <wp:wrapNone/>
            <wp:docPr id="513275574" name="Image 7" descr="Une image contenant Bleu électrique, Bleu Majorelle, Bleu cobalt, drapeau&#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3275574" name="Image 7" descr="Une image contenant Bleu électrique, Bleu Majorelle, Bleu cobalt, drapeau&#10;&#10;Description générée automatiquement"/>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7558500" cy="1797269"/>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rPr>
        <w:pict w14:anchorId="011D6C28">
          <v:rect id="Rectangle 63" o:spid="_x0000_s1026" style="position:absolute;margin-left:40.55pt;margin-top:35.3pt;width:46.2pt;height:3.6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" fillcolor="#ffd966 [1943]" stroked="f" strokeweight="1pt">
            <v:shadow on="t" color="black" opacity="26214f" origin="-.5,-.5" offset=".74836mm,.74836mm"/>
          </v:rect>
        </w:pict>
      </w:r>
      <w:r w:rsidR="009866D7" w:rsidRPr="009866D7">
        <w:rPr>
          <w:rFonts w:ascii="Calibri" w:hAnsi="Calibri" w:cs="Calibri"/>
          <w:b/>
          <w:bCs/>
          <w:color w:val="FFFFFF" w:themeColor="background1"/>
          <w:sz w:val="52"/>
          <w:szCs w:val="52"/>
          <w:lang w:val="fr-FR"/>
        </w:rPr>
        <w:t>S</w:t>
      </w:r>
      <w:r w:rsidR="009866D7">
        <w:rPr>
          <w:rFonts w:ascii="Calibri" w:hAnsi="Calibri" w:cs="Calibri"/>
          <w:b/>
          <w:bCs/>
          <w:color w:val="FFFFFF" w:themeColor="background1"/>
          <w:sz w:val="52"/>
          <w:szCs w:val="52"/>
          <w:lang w:val="fr-FR"/>
        </w:rPr>
        <w:t xml:space="preserve">HRNUTÍ </w:t>
      </w:r>
      <w:r w:rsidR="00145A37">
        <w:rPr>
          <w:rFonts w:ascii="Calibri" w:hAnsi="Calibri" w:cs="Calibri"/>
          <w:b/>
          <w:bCs/>
          <w:color w:val="FFFFFF" w:themeColor="background1"/>
          <w:sz w:val="52"/>
          <w:szCs w:val="52"/>
          <w:lang w:val="fr-FR"/>
        </w:rPr>
        <w:t>ČLÁNKŮ</w:t>
      </w:r>
      <w:r w:rsidR="009866D7" w:rsidRPr="009866D7">
        <w:rPr>
          <w:rFonts w:ascii="Calibri" w:hAnsi="Calibri" w:cs="Calibri"/>
          <w:b/>
          <w:bCs/>
          <w:color w:val="FFFFFF" w:themeColor="background1"/>
          <w:sz w:val="52"/>
          <w:szCs w:val="52"/>
          <w:lang w:val="fr-FR"/>
        </w:rPr>
        <w:t xml:space="preserve"> : </w:t>
      </w:r>
      <w:r w:rsidR="007E5D61">
        <w:rPr>
          <w:rFonts w:ascii="Calibri" w:hAnsi="Calibri" w:cs="Calibri"/>
          <w:b/>
          <w:bCs/>
          <w:color w:val="FFFFFF" w:themeColor="background1"/>
          <w:sz w:val="52"/>
          <w:szCs w:val="52"/>
          <w:lang w:val="fr-FR"/>
        </w:rPr>
        <w:t>ČLÁNEK</w:t>
      </w:r>
      <w:r w:rsidR="009866D7" w:rsidRPr="009866D7">
        <w:rPr>
          <w:rFonts w:ascii="Calibri" w:hAnsi="Calibri" w:cs="Calibri"/>
          <w:b/>
          <w:bCs/>
          <w:color w:val="FFFFFF" w:themeColor="background1"/>
          <w:sz w:val="52"/>
          <w:szCs w:val="52"/>
          <w:lang w:val="fr-FR"/>
        </w:rPr>
        <w:t xml:space="preserve"> </w:t>
      </w:r>
      <w:r w:rsidR="002D759E">
        <w:rPr>
          <w:rFonts w:ascii="Calibri" w:hAnsi="Calibri" w:cs="Calibri"/>
          <w:b/>
          <w:bCs/>
          <w:color w:val="FFFFFF" w:themeColor="background1"/>
          <w:sz w:val="52"/>
          <w:szCs w:val="52"/>
          <w:lang w:val="fr-FR"/>
        </w:rPr>
        <w:t>1</w:t>
      </w:r>
      <w:r w:rsidR="009866D7" w:rsidRPr="009866D7">
        <w:rPr>
          <w:rFonts w:ascii="Calibri" w:hAnsi="Calibri" w:cs="Calibri"/>
          <w:b/>
          <w:bCs/>
          <w:color w:val="FFFFFF" w:themeColor="background1"/>
          <w:sz w:val="52"/>
          <w:szCs w:val="52"/>
          <w:lang w:val="fr-FR"/>
        </w:rPr>
        <w:t xml:space="preserve"> </w:t>
      </w:r>
      <w:r w:rsidR="007E5D61">
        <w:rPr>
          <w:rFonts w:ascii="Calibri" w:hAnsi="Calibri" w:cs="Calibri"/>
          <w:b/>
          <w:bCs/>
          <w:color w:val="FFFFFF" w:themeColor="background1"/>
          <w:sz w:val="52"/>
          <w:szCs w:val="52"/>
          <w:lang w:val="fr-FR"/>
        </w:rPr>
        <w:t>L</w:t>
      </w:r>
      <w:r w:rsidR="00E66684">
        <w:rPr>
          <w:rFonts w:ascii="Calibri" w:hAnsi="Calibri" w:cs="Calibri"/>
          <w:b/>
          <w:bCs/>
          <w:color w:val="FFFFFF" w:themeColor="background1"/>
          <w:sz w:val="52"/>
          <w:szCs w:val="52"/>
          <w:lang w:val="fr-FR"/>
        </w:rPr>
        <w:t>ZPEU</w:t>
      </w:r>
    </w:p>
    <w:p w14:paraId="3968731F" w14:textId="5364C934" w:rsidR="00664DF4" w:rsidRDefault="00664DF4" w:rsidP="0013195B">
      <w:pPr>
        <w:pStyle w:val="Normlnweb"/>
        <w:rPr>
          <w:rFonts w:ascii="Calibri" w:hAnsi="Calibri" w:cs="Calibri"/>
          <w:b/>
          <w:bCs/>
        </w:rPr>
      </w:pPr>
    </w:p>
    <w:p w14:paraId="7945642B" w14:textId="49C8DDE4" w:rsidR="009866D7" w:rsidRPr="00470C01" w:rsidRDefault="009866D7" w:rsidP="0013195B">
      <w:pPr>
        <w:pStyle w:val="Normlnweb"/>
        <w:rPr>
          <w:rFonts w:ascii="Calibri" w:hAnsi="Calibri" w:cs="Calibri"/>
          <w:b/>
          <w:bCs/>
        </w:rPr>
      </w:pPr>
    </w:p>
    <w:tbl>
      <w:tblPr>
        <w:tblStyle w:val="Mkatabulky"/>
        <w:tblW w:w="0" w:type="auto"/>
        <w:tblLook w:val="04A0" w:firstRow="1" w:lastRow="0" w:firstColumn="1" w:lastColumn="0" w:noHBand="0" w:noVBand="1"/>
      </w:tblPr>
      <w:tblGrid>
        <w:gridCol w:w="9180"/>
      </w:tblGrid>
      <w:tr w:rsidR="00664DF4" w:rsidRPr="00470C01" w14:paraId="7304EFBA" w14:textId="77777777" w:rsidTr="009E43DA">
        <w:tc>
          <w:tcPr>
            <w:tcW w:w="9180" w:type="dxa"/>
          </w:tcPr>
          <w:p w14:paraId="07CA32A1" w14:textId="1593BCE8" w:rsidR="00664DF4" w:rsidRPr="00470C01" w:rsidRDefault="00A45F91" w:rsidP="00CD2B58">
            <w:pPr>
              <w:rPr>
                <w:rFonts w:ascii="Calibri" w:hAnsi="Calibri" w:cs="Calibri"/>
                <w:b/>
                <w:bCs/>
                <w:lang w:val="en-US"/>
              </w:rPr>
            </w:pPr>
            <w:r>
              <w:rPr>
                <w:b/>
              </w:rPr>
              <w:t xml:space="preserve">Obsah a působnost článku </w:t>
            </w:r>
          </w:p>
        </w:tc>
      </w:tr>
      <w:tr w:rsidR="00664DF4" w:rsidRPr="00470C01" w14:paraId="6C7DF7F1" w14:textId="77777777" w:rsidTr="009E43DA">
        <w:tc>
          <w:tcPr>
            <w:tcW w:w="9180" w:type="dxa"/>
          </w:tcPr>
          <w:p w14:paraId="6FA0A2E5" w14:textId="77777777" w:rsidR="00130F17" w:rsidRDefault="00130F17" w:rsidP="00CD2B58">
            <w:pPr>
              <w:rPr>
                <w:iCs/>
                <w:lang w:val="en-US"/>
              </w:rPr>
            </w:pPr>
          </w:p>
          <w:p w14:paraId="00962E3F" w14:textId="77777777" w:rsidR="005B771F" w:rsidRDefault="00130F17" w:rsidP="00130F17">
            <w:pPr>
              <w:jc w:val="both"/>
              <w:rPr>
                <w:iCs/>
              </w:rPr>
            </w:pPr>
            <w:r>
              <w:t>Základní ideou mezinárodní ochrany lidských práv je lidská důstojnost, popisovaná jako „absolutní hodnota, která se prolíná všemi lidskými právy“. Podle Mezinárodního paktu</w:t>
            </w:r>
            <w:r w:rsidR="00A54E6E">
              <w:t xml:space="preserve"> o </w:t>
            </w:r>
            <w:r>
              <w:t>lidských právech</w:t>
            </w:r>
            <w:r w:rsidR="00A54E6E">
              <w:t xml:space="preserve"> z </w:t>
            </w:r>
            <w:r>
              <w:t>roku 1976 se „tato práva odvozují od přirozené důstojnosti lidské bytosti“. Tvrzení, že „veškerá lidská práva se odvozují od důstojnosti</w:t>
            </w:r>
            <w:r w:rsidR="00A54E6E">
              <w:t xml:space="preserve"> a </w:t>
            </w:r>
            <w:r>
              <w:t>hodnoty přirozených práv každé lidské bytosti“, je rovněž potvrzeno ve Vídeňské deklaraci Světové konference</w:t>
            </w:r>
            <w:r w:rsidR="00A54E6E">
              <w:t xml:space="preserve"> o </w:t>
            </w:r>
            <w:r>
              <w:t>lidských právech</w:t>
            </w:r>
            <w:r w:rsidR="00A54E6E">
              <w:t xml:space="preserve"> z </w:t>
            </w:r>
            <w:r>
              <w:t>roku 1993. Všeobecná deklarace lidských práv (1948) uvádí, že „uznání přirozené důstojnosti</w:t>
            </w:r>
            <w:r w:rsidR="00A54E6E">
              <w:t xml:space="preserve"> a </w:t>
            </w:r>
            <w:r>
              <w:t>rovných</w:t>
            </w:r>
            <w:r w:rsidR="00A54E6E">
              <w:t xml:space="preserve"> a </w:t>
            </w:r>
            <w:r>
              <w:t>nezcizitelných práv členů lidské rodiny je základem svobody, spravedlnosti</w:t>
            </w:r>
            <w:r w:rsidR="00A54E6E">
              <w:t xml:space="preserve"> a </w:t>
            </w:r>
            <w:r>
              <w:t xml:space="preserve">míru ve světě“. </w:t>
            </w:r>
          </w:p>
          <w:p w14:paraId="1C78CE87" w14:textId="77777777" w:rsidR="00130F17" w:rsidRDefault="00130F17" w:rsidP="00130F17">
            <w:pPr>
              <w:jc w:val="both"/>
              <w:rPr>
                <w:iCs/>
                <w:lang w:val="en-US"/>
              </w:rPr>
            </w:pPr>
          </w:p>
          <w:p w14:paraId="6197C7E4" w14:textId="77777777" w:rsidR="00130F17" w:rsidRPr="005B771F" w:rsidRDefault="00130F17" w:rsidP="00130F17">
            <w:pPr>
              <w:spacing w:after="240"/>
              <w:jc w:val="both"/>
              <w:rPr>
                <w:rFonts w:eastAsia="Times New Roman" w:cs="Times New Roman"/>
                <w:kern w:val="0"/>
              </w:rPr>
            </w:pPr>
            <w:r>
              <w:t>Lidská důstojnost je tedy nejen základním právem sama</w:t>
            </w:r>
            <w:r w:rsidR="00A54E6E">
              <w:t xml:space="preserve"> o </w:t>
            </w:r>
            <w:r>
              <w:t>sobě, ale tvoří</w:t>
            </w:r>
            <w:r w:rsidR="00A54E6E">
              <w:t xml:space="preserve"> i </w:t>
            </w:r>
            <w:r>
              <w:t>skutečné jádro veškerých dalších základních práv. Jak je uvedeno</w:t>
            </w:r>
            <w:r w:rsidR="00A54E6E">
              <w:t xml:space="preserve"> v </w:t>
            </w:r>
            <w:r>
              <w:t>preambuli Všeobecné deklarace lidských práv</w:t>
            </w:r>
            <w:r w:rsidR="00A54E6E">
              <w:t xml:space="preserve"> z </w:t>
            </w:r>
            <w:r>
              <w:t>roku 1948, uznání „přirozené důstojnosti</w:t>
            </w:r>
            <w:r w:rsidR="00A54E6E">
              <w:t xml:space="preserve"> a </w:t>
            </w:r>
            <w:r>
              <w:t>rovných</w:t>
            </w:r>
            <w:r w:rsidR="00A54E6E">
              <w:t xml:space="preserve"> a </w:t>
            </w:r>
            <w:r>
              <w:t>nezcizitelných práv členů lidské rodiny“ je úhelným kamenem svobody, spravedlnosti</w:t>
            </w:r>
            <w:r w:rsidR="00A54E6E">
              <w:t xml:space="preserve"> a </w:t>
            </w:r>
            <w:r>
              <w:t>míru ve světě. Základní právo na lidskou důstojnost je uznáváno</w:t>
            </w:r>
            <w:r w:rsidR="00A54E6E">
              <w:t xml:space="preserve"> i </w:t>
            </w:r>
            <w:r>
              <w:t>unijním právem, jak vyplývá</w:t>
            </w:r>
            <w:r w:rsidR="00A54E6E">
              <w:t xml:space="preserve"> z </w:t>
            </w:r>
            <w:r>
              <w:t>rozsudku Soudního dvora ve věci C-377/98 (Nizozemsko v. Evropský parlament</w:t>
            </w:r>
            <w:r w:rsidR="00A54E6E">
              <w:t xml:space="preserve"> a </w:t>
            </w:r>
            <w:r>
              <w:t>Rada [2001] ECR I-7079).</w:t>
            </w:r>
          </w:p>
          <w:p w14:paraId="16DC59AC" w14:textId="77777777" w:rsidR="00664DF4" w:rsidRDefault="00AA733C" w:rsidP="00CD2B58">
            <w:pPr>
              <w:jc w:val="both"/>
              <w:rPr>
                <w:b/>
              </w:rPr>
            </w:pPr>
            <w:r>
              <w:rPr>
                <w:b/>
              </w:rPr>
              <w:t xml:space="preserve">Důstojnost pro všechny? </w:t>
            </w:r>
          </w:p>
          <w:p w14:paraId="1E68E391" w14:textId="77777777" w:rsidR="00AA733C" w:rsidRPr="00BC3FCB" w:rsidRDefault="00BC3FCB" w:rsidP="00AD2172">
            <w:pPr>
              <w:jc w:val="both"/>
            </w:pPr>
            <w:r>
              <w:t>Lidská důstojnost je uznávána jako základní hodnota pro všechny, každý ji však chápe jinak</w:t>
            </w:r>
            <w:r w:rsidR="00A54E6E">
              <w:t xml:space="preserve"> v </w:t>
            </w:r>
            <w:r>
              <w:t>závislosti na různých aspektech vnější reality, jako je lidská povaha, vztah</w:t>
            </w:r>
            <w:r w:rsidR="00A54E6E">
              <w:t xml:space="preserve"> k </w:t>
            </w:r>
            <w:r>
              <w:t>Bohu, rozum či sociální přijetí. Je tomu tak proto, že tato čtyři pojetí se</w:t>
            </w:r>
            <w:r w:rsidR="00A54E6E">
              <w:t xml:space="preserve"> k </w:t>
            </w:r>
            <w:r>
              <w:t>tomu, co vytváří lidskou bytost, staví rozdílně</w:t>
            </w:r>
            <w:r w:rsidR="00A54E6E">
              <w:t xml:space="preserve"> a </w:t>
            </w:r>
            <w:r>
              <w:t>základní hodnotu lidské bytosti následně vnímají jaké propojení různých rovin její existence. Tyto charakteristiky lidskou bytost definují</w:t>
            </w:r>
            <w:r w:rsidR="00A54E6E">
              <w:t xml:space="preserve"> a </w:t>
            </w:r>
            <w:r>
              <w:t>její existenci zprostředkovávají.  Základní hodnota je však vlastní každé lidské bytosti</w:t>
            </w:r>
            <w:r w:rsidR="00A54E6E">
              <w:t xml:space="preserve"> a </w:t>
            </w:r>
            <w:r>
              <w:t>netýká se jen její povahy, víry, rozumu nebo sociálního postavení. Na tomto se všechna pojetí shodují.</w:t>
            </w:r>
            <w:r w:rsidR="00A54E6E">
              <w:t xml:space="preserve"> V </w:t>
            </w:r>
            <w:r>
              <w:t>důsledku toho se shodují</w:t>
            </w:r>
            <w:r w:rsidR="00A54E6E">
              <w:t xml:space="preserve"> i </w:t>
            </w:r>
            <w:r>
              <w:t>v</w:t>
            </w:r>
            <w:r w:rsidR="0094654F">
              <w:t> </w:t>
            </w:r>
            <w:r>
              <w:t>tom, že lidská důstojnost se uplatní jak pro jednotlivce, tak pro komunitu. Jedním ze způsobů, jak definovat „lidskou důstojnost“</w:t>
            </w:r>
            <w:r w:rsidR="00A54E6E">
              <w:t xml:space="preserve"> v </w:t>
            </w:r>
            <w:r>
              <w:t>rámci mezinárodní ochrany lidských prá</w:t>
            </w:r>
            <w:r w:rsidR="00002A34">
              <w:t xml:space="preserve">v, je jako „základní hodnota“. </w:t>
            </w:r>
            <w:r>
              <w:t>Protože je považována za reflektování cíle stojícího za úmluvou, prohlášením atd., může tak „lidská důstojnost“ sloužit jako výkladové vodítko. „Lidská důstojnost“ tak může být uznávána jako zásada, jíž by se měl řídit způsob výkladu určitého textu.</w:t>
            </w:r>
          </w:p>
          <w:p w14:paraId="38EF017A" w14:textId="77777777" w:rsidR="00664DF4" w:rsidRDefault="00664DF4" w:rsidP="00CD2B58">
            <w:pPr>
              <w:jc w:val="both"/>
              <w:rPr>
                <w:strike/>
                <w:lang w:val="en-US"/>
              </w:rPr>
            </w:pPr>
          </w:p>
          <w:p w14:paraId="4A89C2BF" w14:textId="77777777" w:rsidR="004A2F1F" w:rsidRPr="000067E8" w:rsidRDefault="004A2F1F" w:rsidP="00CD2B58">
            <w:pPr>
              <w:jc w:val="both"/>
              <w:rPr>
                <w:strike/>
                <w:lang w:val="en-US"/>
              </w:rPr>
            </w:pPr>
          </w:p>
          <w:p w14:paraId="441869F4" w14:textId="77777777" w:rsidR="00664DF4" w:rsidRPr="00002A34" w:rsidRDefault="00BC3FCB" w:rsidP="00CD2B58">
            <w:pPr>
              <w:jc w:val="both"/>
              <w:rPr>
                <w:b/>
                <w:bCs/>
              </w:rPr>
            </w:pPr>
            <w:r>
              <w:rPr>
                <w:b/>
              </w:rPr>
              <w:lastRenderedPageBreak/>
              <w:t xml:space="preserve">Základní předpoklad všech lidských práv </w:t>
            </w:r>
          </w:p>
          <w:p w14:paraId="77A59E2A" w14:textId="77777777" w:rsidR="00AD2172" w:rsidRPr="00AD2172" w:rsidRDefault="00AD2172" w:rsidP="00E1047A">
            <w:pPr>
              <w:jc w:val="both"/>
              <w:rPr>
                <w:bCs/>
              </w:rPr>
            </w:pPr>
            <w:r>
              <w:t>Evropská úmluva</w:t>
            </w:r>
            <w:r w:rsidR="00A54E6E">
              <w:t xml:space="preserve"> o </w:t>
            </w:r>
            <w:r>
              <w:t>lidských právech je podle všeho výjimkou</w:t>
            </w:r>
            <w:r w:rsidR="00A54E6E">
              <w:t xml:space="preserve"> z </w:t>
            </w:r>
            <w:r>
              <w:t>obecného pravidla, že důstojnost nebyla zahrnuta do lidskoprávních úmluv</w:t>
            </w:r>
            <w:r w:rsidR="00A54E6E">
              <w:t xml:space="preserve"> v </w:t>
            </w:r>
            <w:r>
              <w:t>evropském prostředí</w:t>
            </w:r>
            <w:r w:rsidR="00A54E6E">
              <w:t xml:space="preserve"> z </w:t>
            </w:r>
            <w:r>
              <w:t>doby po 2. světové válce. Výklad prováděný Radou Evropy</w:t>
            </w:r>
            <w:r w:rsidR="00A54E6E">
              <w:t xml:space="preserve"> a </w:t>
            </w:r>
            <w:r>
              <w:t>Evropským soudem pro lidská práva, konkrétně ve vztahu</w:t>
            </w:r>
            <w:r w:rsidR="00A54E6E">
              <w:t xml:space="preserve"> k </w:t>
            </w:r>
            <w:r>
              <w:t>článku 3 EÚLP zakazujícímu mučení</w:t>
            </w:r>
            <w:r w:rsidR="00A54E6E">
              <w:t xml:space="preserve"> a </w:t>
            </w:r>
            <w:r>
              <w:t>nelidské</w:t>
            </w:r>
            <w:r w:rsidR="00A54E6E">
              <w:t xml:space="preserve"> a </w:t>
            </w:r>
            <w:r>
              <w:t>ponižující zacházení</w:t>
            </w:r>
            <w:r w:rsidR="00A54E6E">
              <w:t xml:space="preserve"> a </w:t>
            </w:r>
            <w:r>
              <w:t>trest</w:t>
            </w:r>
            <w:r w:rsidR="0094654F">
              <w:t>y</w:t>
            </w:r>
            <w:r>
              <w:t>, vycházel při volbě řešení právě</w:t>
            </w:r>
            <w:r w:rsidR="00A54E6E">
              <w:t xml:space="preserve"> z </w:t>
            </w:r>
            <w:r>
              <w:t>ideálu lidské důstojnosti. Později</w:t>
            </w:r>
            <w:r w:rsidR="00A54E6E">
              <w:t xml:space="preserve"> o </w:t>
            </w:r>
            <w:r>
              <w:t>ní probíhala diskuze</w:t>
            </w:r>
            <w:r w:rsidR="00A54E6E">
              <w:t xml:space="preserve"> v </w:t>
            </w:r>
            <w:r>
              <w:t>souvislosti s: právem na soukromí, zákazem mučení, právem na spravedlivý proces bez vystavení se trestu. Protože ESLP má aktuálně za to, že veškerá práva zaručená Úmluvou jsou založena na lidské důstojnosti, rozhodl SDEU ve svém rozsudku ve věci Omega, že „právní pořádek Společenství nepopiratelně směřuje</w:t>
            </w:r>
            <w:r w:rsidR="00A54E6E">
              <w:t xml:space="preserve"> k </w:t>
            </w:r>
            <w:r>
              <w:t>zajištění respektování lidské důstojnosti jako jedné</w:t>
            </w:r>
            <w:r w:rsidR="00A54E6E">
              <w:t xml:space="preserve"> z </w:t>
            </w:r>
            <w:r>
              <w:t>obecných právních zásad“.</w:t>
            </w:r>
          </w:p>
          <w:p w14:paraId="27B19A02" w14:textId="77777777" w:rsidR="00664DF4" w:rsidRPr="000067E8" w:rsidRDefault="00664DF4" w:rsidP="00CD2B58">
            <w:pPr>
              <w:jc w:val="both"/>
              <w:rPr>
                <w:b/>
                <w:bCs/>
                <w:strike/>
                <w:lang w:val="en-US"/>
              </w:rPr>
            </w:pPr>
          </w:p>
          <w:p w14:paraId="636E162B" w14:textId="77777777" w:rsidR="00664DF4" w:rsidRDefault="00BC3FCB" w:rsidP="00CD2B58">
            <w:pPr>
              <w:jc w:val="both"/>
              <w:rPr>
                <w:b/>
                <w:bCs/>
              </w:rPr>
            </w:pPr>
            <w:r>
              <w:rPr>
                <w:b/>
              </w:rPr>
              <w:t>Quo vadis?</w:t>
            </w:r>
          </w:p>
          <w:p w14:paraId="1155487D" w14:textId="77777777" w:rsidR="005E7438" w:rsidRPr="005E7438" w:rsidRDefault="005E7438" w:rsidP="005E7438">
            <w:pPr>
              <w:jc w:val="both"/>
              <w:rPr>
                <w:bCs/>
              </w:rPr>
            </w:pPr>
            <w:r>
              <w:t>Současný systém mezinárodní ochrany lidských práv byl založen ve 40. letech minulého století</w:t>
            </w:r>
            <w:r w:rsidR="00A54E6E">
              <w:t xml:space="preserve"> a </w:t>
            </w:r>
            <w:r>
              <w:t>pojem „lidské důstojnosti“ zůstává jeho základem. Je zahrnuta ve významných úmluvách OSN</w:t>
            </w:r>
            <w:r w:rsidR="00A54E6E">
              <w:t xml:space="preserve"> i </w:t>
            </w:r>
            <w:r>
              <w:t>jiných důležitých dokumentech. Hraje významnou roli ve slovních formulacích úmluv vydaných</w:t>
            </w:r>
            <w:r w:rsidR="00A54E6E">
              <w:t xml:space="preserve"> v </w:t>
            </w:r>
            <w:r>
              <w:t>rámci regionálních systémů ochrany lidských práv</w:t>
            </w:r>
            <w:r w:rsidR="00A54E6E">
              <w:t xml:space="preserve"> i </w:t>
            </w:r>
            <w:r>
              <w:t>v rozhodnutích vydávaných soudy</w:t>
            </w:r>
            <w:r w:rsidR="00A54E6E">
              <w:t xml:space="preserve"> a </w:t>
            </w:r>
            <w:r>
              <w:t>monitorujícími organizacemi. Hraje obzvlášť významnou roli</w:t>
            </w:r>
            <w:r w:rsidR="00A54E6E">
              <w:t xml:space="preserve"> v </w:t>
            </w:r>
            <w:r>
              <w:t>Evropské unii, kde myšlenku „důstojnosti“, jeden</w:t>
            </w:r>
            <w:r w:rsidR="00A54E6E">
              <w:t xml:space="preserve"> z </w:t>
            </w:r>
            <w:r>
              <w:t>hlavních unijních ideálů, odráží Listina základních práv EU. Naší aktuální výzvou je využití lidských práv</w:t>
            </w:r>
            <w:r w:rsidR="00A54E6E">
              <w:t xml:space="preserve"> k </w:t>
            </w:r>
            <w:r>
              <w:t>položení základů pro důstojný život kdekoli na Zemi. Toto úsilí je</w:t>
            </w:r>
            <w:r w:rsidR="00A54E6E">
              <w:t xml:space="preserve"> v </w:t>
            </w:r>
            <w:r>
              <w:t>širším pojetí poměrně nové,</w:t>
            </w:r>
            <w:r w:rsidR="00A54E6E">
              <w:t xml:space="preserve"> a </w:t>
            </w:r>
            <w:r>
              <w:t>to jak</w:t>
            </w:r>
            <w:r w:rsidR="00A54E6E">
              <w:t xml:space="preserve"> v </w:t>
            </w:r>
            <w:r>
              <w:t>západním, tak</w:t>
            </w:r>
            <w:r w:rsidR="00A54E6E">
              <w:t xml:space="preserve"> v </w:t>
            </w:r>
            <w:r>
              <w:t>nezápadním světě. Existovalo ještě před vydáním Všeobecné deklarace lidských práv, ale nevzniklo</w:t>
            </w:r>
            <w:r w:rsidR="00A54E6E">
              <w:t xml:space="preserve"> o </w:t>
            </w:r>
            <w:r>
              <w:t>moc dříve. Přesto se jednotlivci, skupiny</w:t>
            </w:r>
            <w:r w:rsidR="00A54E6E">
              <w:t xml:space="preserve"> a </w:t>
            </w:r>
            <w:r>
              <w:t>společnosti po celém světě aktivně vyrovnávají</w:t>
            </w:r>
            <w:r w:rsidR="00A54E6E">
              <w:t xml:space="preserve"> s </w:t>
            </w:r>
            <w:r>
              <w:t>příležitostmi</w:t>
            </w:r>
            <w:r w:rsidR="00A54E6E">
              <w:t xml:space="preserve"> i </w:t>
            </w:r>
            <w:r>
              <w:t>hrozbami, které jim současný společenský život přináší,</w:t>
            </w:r>
            <w:r w:rsidR="00A54E6E">
              <w:t xml:space="preserve"> a </w:t>
            </w:r>
            <w:r>
              <w:t>snaží se</w:t>
            </w:r>
            <w:r w:rsidR="00A54E6E">
              <w:t xml:space="preserve"> o </w:t>
            </w:r>
            <w:r>
              <w:t>zavedení</w:t>
            </w:r>
            <w:r w:rsidR="00A54E6E">
              <w:t xml:space="preserve"> a </w:t>
            </w:r>
            <w:r>
              <w:t>dodržování svých lidských práv</w:t>
            </w:r>
            <w:r w:rsidR="00A54E6E">
              <w:t xml:space="preserve"> a </w:t>
            </w:r>
            <w:r>
              <w:t>o důstojný život, který si zaslouží být skutečně lidský. Využívají</w:t>
            </w:r>
            <w:r w:rsidR="00A54E6E">
              <w:t xml:space="preserve"> k </w:t>
            </w:r>
            <w:r>
              <w:t>tomu širokou škálu historických, kulturních</w:t>
            </w:r>
            <w:r w:rsidR="00A54E6E">
              <w:t xml:space="preserve"> a </w:t>
            </w:r>
            <w:r>
              <w:t>materiálních zdrojů –</w:t>
            </w:r>
            <w:r w:rsidR="00A54E6E">
              <w:t xml:space="preserve"> a </w:t>
            </w:r>
            <w:r>
              <w:t>judikaturu</w:t>
            </w:r>
            <w:r w:rsidR="00A54E6E">
              <w:t xml:space="preserve"> v </w:t>
            </w:r>
            <w:r>
              <w:t xml:space="preserve">oblasti lidských práv. </w:t>
            </w:r>
          </w:p>
          <w:p w14:paraId="0FCAA739" w14:textId="77777777" w:rsidR="00664DF4" w:rsidRPr="00BC3FCB" w:rsidRDefault="00664DF4" w:rsidP="00FA4D1E">
            <w:pPr>
              <w:jc w:val="both"/>
              <w:rPr>
                <w:rFonts w:ascii="Calibri" w:hAnsi="Calibri" w:cs="Calibri"/>
                <w:i/>
                <w:iCs/>
                <w:lang w:val="en-US"/>
              </w:rPr>
            </w:pPr>
          </w:p>
        </w:tc>
      </w:tr>
      <w:tr w:rsidR="00664DF4" w:rsidRPr="00470C01" w14:paraId="3B18D250" w14:textId="77777777" w:rsidTr="009E43DA">
        <w:tc>
          <w:tcPr>
            <w:tcW w:w="9180" w:type="dxa"/>
          </w:tcPr>
          <w:p w14:paraId="379DC845" w14:textId="1BB8AEB1" w:rsidR="00664DF4" w:rsidRPr="00470C01" w:rsidRDefault="00664DF4" w:rsidP="00CD2B58">
            <w:pPr>
              <w:rPr>
                <w:rFonts w:ascii="Calibri" w:hAnsi="Calibri" w:cs="Calibri"/>
              </w:rPr>
            </w:pPr>
            <w:r>
              <w:rPr>
                <w:b/>
              </w:rPr>
              <w:lastRenderedPageBreak/>
              <w:t>Judikatura Soudního dvora</w:t>
            </w:r>
            <w:r w:rsidR="00725F52">
              <w:rPr>
                <w:b/>
              </w:rPr>
              <w:t xml:space="preserve"> EU</w:t>
            </w:r>
          </w:p>
        </w:tc>
      </w:tr>
      <w:tr w:rsidR="00664DF4" w:rsidRPr="00470C01" w14:paraId="1EFC0005" w14:textId="77777777" w:rsidTr="009E43DA">
        <w:tc>
          <w:tcPr>
            <w:tcW w:w="9180" w:type="dxa"/>
          </w:tcPr>
          <w:p w14:paraId="42491955" w14:textId="77777777" w:rsidR="00664DF4" w:rsidRDefault="00664DF4" w:rsidP="00CD2B58">
            <w:pPr>
              <w:pStyle w:val="Odstavecseseznamem"/>
              <w:ind w:left="709"/>
              <w:jc w:val="both"/>
              <w:rPr>
                <w:b/>
                <w:bCs/>
              </w:rPr>
            </w:pPr>
          </w:p>
          <w:p w14:paraId="095DBCA8" w14:textId="77777777" w:rsidR="00130F17" w:rsidRPr="00130F17" w:rsidRDefault="00130F17" w:rsidP="00130F17">
            <w:pPr>
              <w:pStyle w:val="Odstavecseseznamem"/>
              <w:numPr>
                <w:ilvl w:val="0"/>
                <w:numId w:val="3"/>
              </w:numPr>
              <w:jc w:val="both"/>
              <w:rPr>
                <w:b/>
                <w:bCs/>
              </w:rPr>
            </w:pPr>
            <w:r>
              <w:rPr>
                <w:b/>
              </w:rPr>
              <w:t xml:space="preserve">SDEU věc C-709/20: </w:t>
            </w:r>
            <w:r w:rsidRPr="008E6F03">
              <w:rPr>
                <w:b/>
                <w:i/>
              </w:rPr>
              <w:t>CG v. The Department for Communities in Northern Ireland</w:t>
            </w:r>
          </w:p>
          <w:p w14:paraId="6C1B2649" w14:textId="77777777" w:rsidR="00130F17" w:rsidRDefault="00130F17" w:rsidP="00130F17">
            <w:pPr>
              <w:jc w:val="both"/>
              <w:rPr>
                <w:bCs/>
                <w:i/>
              </w:rPr>
            </w:pPr>
          </w:p>
          <w:p w14:paraId="6898B3A1" w14:textId="77777777" w:rsidR="008E3D3E" w:rsidRDefault="00D4054E" w:rsidP="00164E28">
            <w:pPr>
              <w:jc w:val="both"/>
              <w:rPr>
                <w:bCs/>
                <w:i/>
              </w:rPr>
            </w:pPr>
            <w:r>
              <w:rPr>
                <w:i/>
              </w:rPr>
              <w:t>Klíčov</w:t>
            </w:r>
            <w:r w:rsidR="00CF573F">
              <w:rPr>
                <w:i/>
              </w:rPr>
              <w:t>é pojmy</w:t>
            </w:r>
            <w:r>
              <w:rPr>
                <w:i/>
              </w:rPr>
              <w:t xml:space="preserve">: </w:t>
            </w:r>
            <w:r w:rsidR="00CF573F">
              <w:rPr>
                <w:i/>
              </w:rPr>
              <w:t>o</w:t>
            </w:r>
            <w:r>
              <w:rPr>
                <w:i/>
              </w:rPr>
              <w:t xml:space="preserve">bčanství Unie – </w:t>
            </w:r>
            <w:r w:rsidR="00CF573F">
              <w:rPr>
                <w:i/>
              </w:rPr>
              <w:t>s</w:t>
            </w:r>
            <w:r>
              <w:rPr>
                <w:i/>
              </w:rPr>
              <w:t>tátní příslušník členského státu, který není ekonomicky aktivní</w:t>
            </w:r>
            <w:r w:rsidR="00A54E6E">
              <w:rPr>
                <w:i/>
              </w:rPr>
              <w:t xml:space="preserve"> a </w:t>
            </w:r>
            <w:r>
              <w:rPr>
                <w:i/>
              </w:rPr>
              <w:t xml:space="preserve">pobývá na území jiného členského státu na základě vnitrostátního práva – </w:t>
            </w:r>
            <w:r w:rsidR="00CF573F">
              <w:rPr>
                <w:i/>
              </w:rPr>
              <w:t>z</w:t>
            </w:r>
            <w:r>
              <w:rPr>
                <w:i/>
              </w:rPr>
              <w:t xml:space="preserve">ákaz diskriminace na základě státní příslušnosti – </w:t>
            </w:r>
            <w:r w:rsidR="00CF573F">
              <w:rPr>
                <w:i/>
              </w:rPr>
              <w:t>p</w:t>
            </w:r>
            <w:r>
              <w:rPr>
                <w:i/>
              </w:rPr>
              <w:t xml:space="preserve">odmínky pro získání práva pobytu na dobu delší než tři měsíce – </w:t>
            </w:r>
            <w:r w:rsidR="00CF573F">
              <w:rPr>
                <w:i/>
              </w:rPr>
              <w:t>s</w:t>
            </w:r>
            <w:r>
              <w:rPr>
                <w:i/>
              </w:rPr>
              <w:t xml:space="preserve">ociální pomoc – </w:t>
            </w:r>
            <w:r w:rsidR="00CF573F">
              <w:rPr>
                <w:i/>
              </w:rPr>
              <w:t>rovné zacházení</w:t>
            </w:r>
          </w:p>
          <w:p w14:paraId="45302418" w14:textId="77777777" w:rsidR="00130F17" w:rsidRDefault="00130F17" w:rsidP="00164E28">
            <w:pPr>
              <w:jc w:val="both"/>
              <w:rPr>
                <w:b/>
                <w:bCs/>
              </w:rPr>
            </w:pPr>
          </w:p>
          <w:p w14:paraId="62E5892E" w14:textId="77777777" w:rsidR="00002A34" w:rsidRDefault="00002A34" w:rsidP="00164E28">
            <w:pPr>
              <w:jc w:val="both"/>
              <w:rPr>
                <w:b/>
                <w:bCs/>
              </w:rPr>
            </w:pPr>
          </w:p>
          <w:p w14:paraId="1ACC8919" w14:textId="77777777" w:rsidR="00D4054E" w:rsidRPr="00B86AAA" w:rsidRDefault="00B86AAA" w:rsidP="00B86AAA">
            <w:pPr>
              <w:pStyle w:val="Odstavecseseznamem"/>
              <w:numPr>
                <w:ilvl w:val="0"/>
                <w:numId w:val="3"/>
              </w:numPr>
              <w:jc w:val="both"/>
              <w:rPr>
                <w:b/>
                <w:bCs/>
              </w:rPr>
            </w:pPr>
            <w:r>
              <w:rPr>
                <w:b/>
              </w:rPr>
              <w:t>SDEU, spojené věci C-322/19</w:t>
            </w:r>
            <w:r w:rsidR="00A54E6E">
              <w:rPr>
                <w:b/>
              </w:rPr>
              <w:t xml:space="preserve"> a </w:t>
            </w:r>
            <w:r>
              <w:rPr>
                <w:b/>
              </w:rPr>
              <w:t xml:space="preserve">C-385/19: </w:t>
            </w:r>
            <w:r w:rsidRPr="008E6F03">
              <w:rPr>
                <w:b/>
                <w:i/>
              </w:rPr>
              <w:t>KS</w:t>
            </w:r>
            <w:r w:rsidR="00A54E6E">
              <w:rPr>
                <w:b/>
                <w:i/>
              </w:rPr>
              <w:t xml:space="preserve"> </w:t>
            </w:r>
            <w:r w:rsidR="00A54E6E" w:rsidRPr="008E6F03">
              <w:rPr>
                <w:b/>
                <w:i/>
              </w:rPr>
              <w:t>a</w:t>
            </w:r>
            <w:r w:rsidR="00A54E6E">
              <w:rPr>
                <w:b/>
                <w:i/>
              </w:rPr>
              <w:t> </w:t>
            </w:r>
            <w:r w:rsidRPr="008E6F03">
              <w:rPr>
                <w:b/>
                <w:i/>
              </w:rPr>
              <w:t>další v. The International Protection Appeals Tribunal</w:t>
            </w:r>
            <w:r w:rsidR="00A54E6E">
              <w:rPr>
                <w:b/>
                <w:i/>
              </w:rPr>
              <w:t xml:space="preserve"> </w:t>
            </w:r>
            <w:r w:rsidR="00A54E6E" w:rsidRPr="008E6F03">
              <w:rPr>
                <w:b/>
                <w:i/>
              </w:rPr>
              <w:t>a</w:t>
            </w:r>
            <w:r w:rsidR="00A54E6E">
              <w:rPr>
                <w:b/>
                <w:i/>
              </w:rPr>
              <w:t> </w:t>
            </w:r>
            <w:r w:rsidRPr="008E6F03">
              <w:rPr>
                <w:b/>
                <w:i/>
              </w:rPr>
              <w:t>další</w:t>
            </w:r>
          </w:p>
          <w:p w14:paraId="33B44053" w14:textId="77777777" w:rsidR="00664DF4" w:rsidRPr="003A5F4A" w:rsidRDefault="00664DF4" w:rsidP="00D4054E">
            <w:pPr>
              <w:jc w:val="both"/>
              <w:rPr>
                <w:rFonts w:eastAsia="Times New Roman" w:cstheme="minorHAnsi"/>
                <w:strike/>
                <w:color w:val="000000"/>
                <w:lang w:eastAsia="cs-CZ"/>
              </w:rPr>
            </w:pPr>
          </w:p>
          <w:p w14:paraId="25148B7E" w14:textId="77777777" w:rsidR="00664DF4" w:rsidRDefault="00CF573F" w:rsidP="00CD2B58">
            <w:pPr>
              <w:rPr>
                <w:bCs/>
                <w:i/>
              </w:rPr>
            </w:pPr>
            <w:r>
              <w:rPr>
                <w:i/>
              </w:rPr>
              <w:t>Klíčové pojmy</w:t>
            </w:r>
            <w:r w:rsidR="00B86AAA">
              <w:rPr>
                <w:i/>
              </w:rPr>
              <w:t xml:space="preserve">: </w:t>
            </w:r>
            <w:r>
              <w:rPr>
                <w:i/>
              </w:rPr>
              <w:t>k</w:t>
            </w:r>
            <w:r w:rsidR="00B86AAA">
              <w:rPr>
                <w:i/>
              </w:rPr>
              <w:t>ontroly na hranicích, azyl</w:t>
            </w:r>
            <w:r w:rsidR="00A54E6E">
              <w:rPr>
                <w:i/>
              </w:rPr>
              <w:t xml:space="preserve"> a </w:t>
            </w:r>
            <w:r w:rsidR="00B86AAA">
              <w:rPr>
                <w:i/>
              </w:rPr>
              <w:t xml:space="preserve">přistěhovalectví – </w:t>
            </w:r>
            <w:r>
              <w:rPr>
                <w:i/>
              </w:rPr>
              <w:t>n</w:t>
            </w:r>
            <w:r w:rsidR="00B86AAA">
              <w:rPr>
                <w:i/>
              </w:rPr>
              <w:t>ormy pro přijímání žadatelů</w:t>
            </w:r>
            <w:r w:rsidR="00A54E6E">
              <w:rPr>
                <w:i/>
              </w:rPr>
              <w:t xml:space="preserve"> o </w:t>
            </w:r>
            <w:r w:rsidR="00B86AAA">
              <w:rPr>
                <w:i/>
              </w:rPr>
              <w:t xml:space="preserve">mezinárodní ochranu – </w:t>
            </w:r>
            <w:r>
              <w:rPr>
                <w:i/>
              </w:rPr>
              <w:t>r</w:t>
            </w:r>
            <w:r w:rsidR="00B86AAA">
              <w:rPr>
                <w:i/>
              </w:rPr>
              <w:t>ozhodnutí</w:t>
            </w:r>
            <w:r w:rsidR="00A54E6E">
              <w:rPr>
                <w:i/>
              </w:rPr>
              <w:t xml:space="preserve"> o </w:t>
            </w:r>
            <w:r w:rsidR="00B86AAA">
              <w:rPr>
                <w:i/>
              </w:rPr>
              <w:t xml:space="preserve">přemístění do prvního členského státu – </w:t>
            </w:r>
            <w:r>
              <w:rPr>
                <w:i/>
              </w:rPr>
              <w:t>p</w:t>
            </w:r>
            <w:r w:rsidR="00B86AAA">
              <w:rPr>
                <w:i/>
              </w:rPr>
              <w:t>řístup na trh práce jakožto žadatel</w:t>
            </w:r>
            <w:r w:rsidR="00A54E6E">
              <w:rPr>
                <w:i/>
              </w:rPr>
              <w:t xml:space="preserve"> o </w:t>
            </w:r>
            <w:r w:rsidR="00B86AAA">
              <w:rPr>
                <w:i/>
              </w:rPr>
              <w:t>mezinárodní ochranu</w:t>
            </w:r>
          </w:p>
          <w:p w14:paraId="2038245C" w14:textId="77777777" w:rsidR="0062393D" w:rsidRDefault="0062393D" w:rsidP="00130F17">
            <w:pPr>
              <w:rPr>
                <w:bCs/>
                <w:i/>
              </w:rPr>
            </w:pPr>
          </w:p>
          <w:p w14:paraId="24D7B11E" w14:textId="77777777" w:rsidR="00002A34" w:rsidRDefault="00002A34" w:rsidP="00130F17">
            <w:pPr>
              <w:rPr>
                <w:bCs/>
                <w:i/>
              </w:rPr>
            </w:pPr>
          </w:p>
          <w:p w14:paraId="01B2A19F" w14:textId="77777777" w:rsidR="0062393D" w:rsidRDefault="0062393D" w:rsidP="0062393D">
            <w:pPr>
              <w:pStyle w:val="Odstavecseseznamem"/>
              <w:numPr>
                <w:ilvl w:val="0"/>
                <w:numId w:val="3"/>
              </w:numPr>
              <w:rPr>
                <w:b/>
                <w:iCs/>
              </w:rPr>
            </w:pPr>
            <w:r>
              <w:rPr>
                <w:b/>
              </w:rPr>
              <w:t xml:space="preserve">SDEU, věc C-151/17: </w:t>
            </w:r>
            <w:r w:rsidRPr="008E6F03">
              <w:rPr>
                <w:b/>
                <w:i/>
              </w:rPr>
              <w:t>Swedish Match AB v. Secretary of State for Health</w:t>
            </w:r>
          </w:p>
          <w:p w14:paraId="3CEEFC72" w14:textId="77777777" w:rsidR="0062393D" w:rsidRDefault="0062393D" w:rsidP="0062393D">
            <w:pPr>
              <w:rPr>
                <w:b/>
                <w:iCs/>
                <w:lang w:val="en-US"/>
              </w:rPr>
            </w:pPr>
          </w:p>
          <w:p w14:paraId="37577749" w14:textId="77777777" w:rsidR="0062393D" w:rsidRPr="0062393D" w:rsidRDefault="00CF573F" w:rsidP="0062393D">
            <w:pPr>
              <w:rPr>
                <w:i/>
                <w:iCs/>
              </w:rPr>
            </w:pPr>
            <w:r>
              <w:rPr>
                <w:i/>
              </w:rPr>
              <w:t>Klíčové pojmy</w:t>
            </w:r>
            <w:r w:rsidR="0062393D">
              <w:rPr>
                <w:i/>
              </w:rPr>
              <w:t xml:space="preserve">: </w:t>
            </w:r>
            <w:r>
              <w:rPr>
                <w:i/>
              </w:rPr>
              <w:t>s</w:t>
            </w:r>
            <w:r w:rsidR="0062393D">
              <w:rPr>
                <w:i/>
              </w:rPr>
              <w:t xml:space="preserve">bližování právních předpisů – </w:t>
            </w:r>
            <w:r>
              <w:rPr>
                <w:i/>
              </w:rPr>
              <w:t>v</w:t>
            </w:r>
            <w:r w:rsidR="0062393D">
              <w:rPr>
                <w:i/>
              </w:rPr>
              <w:t>ýroba, obchodní úprava</w:t>
            </w:r>
            <w:r w:rsidR="00A54E6E">
              <w:rPr>
                <w:i/>
              </w:rPr>
              <w:t xml:space="preserve"> a </w:t>
            </w:r>
            <w:r w:rsidR="0062393D">
              <w:rPr>
                <w:i/>
              </w:rPr>
              <w:t xml:space="preserve">prodej </w:t>
            </w:r>
            <w:r>
              <w:rPr>
                <w:i/>
              </w:rPr>
              <w:t>tabákových výrobků – z</w:t>
            </w:r>
            <w:r w:rsidR="0062393D">
              <w:rPr>
                <w:i/>
              </w:rPr>
              <w:t xml:space="preserve">ákaz uvádět na trh tabákové výrobky pro orální užití – </w:t>
            </w:r>
            <w:r>
              <w:rPr>
                <w:i/>
              </w:rPr>
              <w:t>p</w:t>
            </w:r>
            <w:r w:rsidR="0062393D">
              <w:rPr>
                <w:i/>
              </w:rPr>
              <w:t>latnost</w:t>
            </w:r>
          </w:p>
          <w:p w14:paraId="3187FC25" w14:textId="77777777" w:rsidR="0062393D" w:rsidRDefault="0062393D" w:rsidP="0062393D">
            <w:pPr>
              <w:rPr>
                <w:b/>
                <w:iCs/>
                <w:lang w:val="en-US"/>
              </w:rPr>
            </w:pPr>
          </w:p>
          <w:p w14:paraId="48E0DC00" w14:textId="77777777" w:rsidR="00002A34" w:rsidRDefault="00002A34" w:rsidP="0062393D">
            <w:pPr>
              <w:rPr>
                <w:b/>
                <w:iCs/>
                <w:lang w:val="en-US"/>
              </w:rPr>
            </w:pPr>
          </w:p>
          <w:p w14:paraId="7564CD8E" w14:textId="77777777" w:rsidR="0062393D" w:rsidRPr="008E6F03" w:rsidRDefault="0062393D" w:rsidP="0062393D">
            <w:pPr>
              <w:pStyle w:val="Odstavecseseznamem"/>
              <w:numPr>
                <w:ilvl w:val="0"/>
                <w:numId w:val="3"/>
              </w:numPr>
              <w:rPr>
                <w:b/>
                <w:i/>
                <w:iCs/>
              </w:rPr>
            </w:pPr>
            <w:r>
              <w:rPr>
                <w:b/>
              </w:rPr>
              <w:t xml:space="preserve">SDEU, věc C-652/16: </w:t>
            </w:r>
            <w:r w:rsidRPr="008E6F03">
              <w:rPr>
                <w:b/>
                <w:i/>
              </w:rPr>
              <w:t>Nigyar Rauf Kaza Ahmedbekova</w:t>
            </w:r>
            <w:r w:rsidR="00A54E6E">
              <w:rPr>
                <w:b/>
                <w:i/>
              </w:rPr>
              <w:t xml:space="preserve"> </w:t>
            </w:r>
            <w:r w:rsidR="00A54E6E" w:rsidRPr="008E6F03">
              <w:rPr>
                <w:b/>
                <w:i/>
              </w:rPr>
              <w:t>a</w:t>
            </w:r>
            <w:r w:rsidR="00A54E6E">
              <w:rPr>
                <w:b/>
                <w:i/>
              </w:rPr>
              <w:t> </w:t>
            </w:r>
            <w:r w:rsidRPr="008E6F03">
              <w:rPr>
                <w:b/>
                <w:i/>
              </w:rPr>
              <w:t>Rauf Emin Ogla Ahmedbekov v. Zamestnik-predsedatel na Darzhavna agentsia za bezhantsite</w:t>
            </w:r>
          </w:p>
          <w:p w14:paraId="372EAD75" w14:textId="77777777" w:rsidR="0062393D" w:rsidRDefault="0062393D" w:rsidP="0062393D">
            <w:pPr>
              <w:rPr>
                <w:b/>
                <w:iCs/>
                <w:lang w:val="en-US"/>
              </w:rPr>
            </w:pPr>
          </w:p>
          <w:p w14:paraId="14C13880" w14:textId="77777777" w:rsidR="0062393D" w:rsidRPr="0062393D" w:rsidRDefault="00CF573F" w:rsidP="0062393D">
            <w:pPr>
              <w:rPr>
                <w:i/>
                <w:iCs/>
              </w:rPr>
            </w:pPr>
            <w:r>
              <w:rPr>
                <w:i/>
              </w:rPr>
              <w:t>Klíčové pojmy</w:t>
            </w:r>
            <w:r w:rsidR="0062393D">
              <w:rPr>
                <w:i/>
              </w:rPr>
              <w:t xml:space="preserve">: </w:t>
            </w:r>
            <w:r>
              <w:rPr>
                <w:i/>
              </w:rPr>
              <w:t>ž</w:t>
            </w:r>
            <w:r w:rsidR="0062393D">
              <w:rPr>
                <w:i/>
              </w:rPr>
              <w:t>ádosti</w:t>
            </w:r>
            <w:r w:rsidR="00A54E6E">
              <w:rPr>
                <w:i/>
              </w:rPr>
              <w:t xml:space="preserve"> o </w:t>
            </w:r>
            <w:r w:rsidR="0062393D">
              <w:rPr>
                <w:i/>
              </w:rPr>
              <w:t xml:space="preserve">mezinárodní ochranu podané samostatně příslušníky téže rodiny – </w:t>
            </w:r>
            <w:r>
              <w:rPr>
                <w:i/>
              </w:rPr>
              <w:t>i</w:t>
            </w:r>
            <w:r w:rsidR="0062393D">
              <w:rPr>
                <w:i/>
              </w:rPr>
              <w:t xml:space="preserve">ndividuální posouzení – </w:t>
            </w:r>
            <w:r>
              <w:rPr>
                <w:i/>
              </w:rPr>
              <w:t>p</w:t>
            </w:r>
            <w:r w:rsidR="0062393D">
              <w:rPr>
                <w:i/>
              </w:rPr>
              <w:t>řihlédnutí</w:t>
            </w:r>
            <w:r w:rsidR="00A54E6E">
              <w:rPr>
                <w:i/>
              </w:rPr>
              <w:t xml:space="preserve"> k </w:t>
            </w:r>
            <w:r w:rsidR="0062393D">
              <w:rPr>
                <w:i/>
              </w:rPr>
              <w:t>hrozbám, jimž je vystaven jeden rodinný příslušník,</w:t>
            </w:r>
            <w:r w:rsidR="00A54E6E">
              <w:rPr>
                <w:i/>
              </w:rPr>
              <w:t xml:space="preserve"> v </w:t>
            </w:r>
            <w:r w:rsidR="0062393D">
              <w:rPr>
                <w:i/>
              </w:rPr>
              <w:t xml:space="preserve">rámci individuálního posouzení žádosti jiného rodinného příslušníka – </w:t>
            </w:r>
            <w:r>
              <w:rPr>
                <w:i/>
              </w:rPr>
              <w:t>p</w:t>
            </w:r>
            <w:r w:rsidR="0062393D">
              <w:rPr>
                <w:i/>
              </w:rPr>
              <w:t xml:space="preserve">říznivější normy, jež mohou být zachovány nebo přijaty členskými státy pro účely rozšíření azylu nebo doplňkové ochrany na rodinné příslušníky osoby, která požívá mezinárodní ochrany – </w:t>
            </w:r>
            <w:r>
              <w:rPr>
                <w:i/>
              </w:rPr>
              <w:t>p</w:t>
            </w:r>
            <w:r w:rsidR="0062393D">
              <w:rPr>
                <w:i/>
              </w:rPr>
              <w:t>osouzení důvodů pronásledování</w:t>
            </w:r>
          </w:p>
          <w:p w14:paraId="53A1358E" w14:textId="77777777" w:rsidR="0062393D" w:rsidRDefault="0062393D" w:rsidP="0062393D">
            <w:pPr>
              <w:rPr>
                <w:b/>
                <w:iCs/>
                <w:lang w:val="en-US"/>
              </w:rPr>
            </w:pPr>
          </w:p>
          <w:p w14:paraId="6A90651F" w14:textId="77777777" w:rsidR="00002A34" w:rsidRDefault="00002A34" w:rsidP="0062393D">
            <w:pPr>
              <w:rPr>
                <w:b/>
                <w:iCs/>
                <w:lang w:val="en-US"/>
              </w:rPr>
            </w:pPr>
          </w:p>
          <w:p w14:paraId="40843C9D" w14:textId="77777777" w:rsidR="0062393D" w:rsidRDefault="0062393D" w:rsidP="0062393D">
            <w:pPr>
              <w:pStyle w:val="Odstavecseseznamem"/>
              <w:numPr>
                <w:ilvl w:val="0"/>
                <w:numId w:val="3"/>
              </w:numPr>
              <w:rPr>
                <w:b/>
                <w:iCs/>
              </w:rPr>
            </w:pPr>
            <w:r>
              <w:rPr>
                <w:b/>
              </w:rPr>
              <w:t xml:space="preserve">SDEU, věc T-531/14: </w:t>
            </w:r>
            <w:r w:rsidRPr="008E6F03">
              <w:rPr>
                <w:b/>
                <w:i/>
              </w:rPr>
              <w:t>Leïmonia Sotiropoulou</w:t>
            </w:r>
            <w:r w:rsidR="00A54E6E">
              <w:rPr>
                <w:b/>
                <w:i/>
              </w:rPr>
              <w:t xml:space="preserve"> </w:t>
            </w:r>
            <w:r w:rsidR="00A54E6E" w:rsidRPr="008E6F03">
              <w:rPr>
                <w:b/>
                <w:i/>
              </w:rPr>
              <w:t>a</w:t>
            </w:r>
            <w:r w:rsidR="00A54E6E">
              <w:rPr>
                <w:b/>
                <w:i/>
              </w:rPr>
              <w:t> </w:t>
            </w:r>
            <w:r w:rsidRPr="008E6F03">
              <w:rPr>
                <w:b/>
                <w:i/>
              </w:rPr>
              <w:t>ostatní v. Evropská rada</w:t>
            </w:r>
          </w:p>
          <w:p w14:paraId="2C163185" w14:textId="77777777" w:rsidR="0062393D" w:rsidRDefault="0062393D" w:rsidP="0062393D">
            <w:pPr>
              <w:pStyle w:val="Odstavecseseznamem"/>
              <w:rPr>
                <w:b/>
                <w:iCs/>
                <w:lang w:val="en-US"/>
              </w:rPr>
            </w:pPr>
          </w:p>
          <w:p w14:paraId="6A769707" w14:textId="77777777" w:rsidR="0062393D" w:rsidRDefault="00CF573F" w:rsidP="0062393D">
            <w:pPr>
              <w:rPr>
                <w:i/>
                <w:iCs/>
              </w:rPr>
            </w:pPr>
            <w:r>
              <w:rPr>
                <w:i/>
              </w:rPr>
              <w:t>Klíčové pojmy</w:t>
            </w:r>
            <w:r w:rsidR="0062393D">
              <w:rPr>
                <w:i/>
              </w:rPr>
              <w:t xml:space="preserve">: </w:t>
            </w:r>
            <w:r>
              <w:rPr>
                <w:i/>
              </w:rPr>
              <w:t>m</w:t>
            </w:r>
            <w:r w:rsidR="0062393D">
              <w:rPr>
                <w:i/>
              </w:rPr>
              <w:t xml:space="preserve">imosmluvní odpovědnost – </w:t>
            </w:r>
            <w:r>
              <w:rPr>
                <w:i/>
              </w:rPr>
              <w:t>h</w:t>
            </w:r>
            <w:r w:rsidR="0062393D">
              <w:rPr>
                <w:i/>
              </w:rPr>
              <w:t>osp</w:t>
            </w:r>
            <w:r>
              <w:rPr>
                <w:i/>
              </w:rPr>
              <w:t>odářská</w:t>
            </w:r>
            <w:r w:rsidR="00A54E6E">
              <w:rPr>
                <w:i/>
              </w:rPr>
              <w:t xml:space="preserve"> a </w:t>
            </w:r>
            <w:r>
              <w:rPr>
                <w:i/>
              </w:rPr>
              <w:t>monetární politika – r</w:t>
            </w:r>
            <w:r w:rsidR="0062393D">
              <w:rPr>
                <w:i/>
              </w:rPr>
              <w:t>ozhodnutí adresovaná členskému státu</w:t>
            </w:r>
            <w:r w:rsidR="00A54E6E">
              <w:rPr>
                <w:i/>
              </w:rPr>
              <w:t xml:space="preserve"> s </w:t>
            </w:r>
            <w:r w:rsidR="0062393D">
              <w:rPr>
                <w:i/>
              </w:rPr>
              <w:t xml:space="preserve">cílem napravit situaci nadměrného deficitu – </w:t>
            </w:r>
            <w:r>
              <w:rPr>
                <w:i/>
              </w:rPr>
              <w:t>s</w:t>
            </w:r>
            <w:r w:rsidR="0062393D">
              <w:rPr>
                <w:i/>
              </w:rPr>
              <w:t>nížení</w:t>
            </w:r>
            <w:r w:rsidR="00A54E6E">
              <w:rPr>
                <w:i/>
              </w:rPr>
              <w:t xml:space="preserve"> a </w:t>
            </w:r>
            <w:r w:rsidR="0062393D">
              <w:rPr>
                <w:i/>
              </w:rPr>
              <w:t>zrušení práva na důchod</w:t>
            </w:r>
            <w:r w:rsidR="00A54E6E">
              <w:rPr>
                <w:i/>
              </w:rPr>
              <w:t xml:space="preserve"> v </w:t>
            </w:r>
            <w:r w:rsidR="0062393D">
              <w:rPr>
                <w:i/>
              </w:rPr>
              <w:t xml:space="preserve">Řecku – </w:t>
            </w:r>
            <w:r>
              <w:rPr>
                <w:i/>
              </w:rPr>
              <w:t>d</w:t>
            </w:r>
            <w:r w:rsidR="0062393D">
              <w:rPr>
                <w:i/>
              </w:rPr>
              <w:t>ostatečně závažné porušení zásad právního státu poskytujících práva jednotlivcům</w:t>
            </w:r>
          </w:p>
          <w:p w14:paraId="628CCDF8" w14:textId="77777777" w:rsidR="0062393D" w:rsidRDefault="0062393D" w:rsidP="0062393D">
            <w:pPr>
              <w:rPr>
                <w:i/>
                <w:iCs/>
                <w:lang w:val="en-US"/>
              </w:rPr>
            </w:pPr>
          </w:p>
          <w:p w14:paraId="4EC6888C" w14:textId="77777777" w:rsidR="00002A34" w:rsidRDefault="00002A34" w:rsidP="0062393D">
            <w:pPr>
              <w:rPr>
                <w:i/>
                <w:iCs/>
                <w:lang w:val="en-US"/>
              </w:rPr>
            </w:pPr>
          </w:p>
          <w:p w14:paraId="31713A74" w14:textId="77777777" w:rsidR="0062393D" w:rsidRPr="0062393D" w:rsidRDefault="0062393D" w:rsidP="0062393D">
            <w:pPr>
              <w:pStyle w:val="Odstavecseseznamem"/>
              <w:numPr>
                <w:ilvl w:val="0"/>
                <w:numId w:val="3"/>
              </w:numPr>
              <w:rPr>
                <w:b/>
                <w:iCs/>
              </w:rPr>
            </w:pPr>
            <w:r>
              <w:rPr>
                <w:b/>
              </w:rPr>
              <w:t xml:space="preserve">SDEU, věc C-571/10: </w:t>
            </w:r>
            <w:r w:rsidRPr="008E6F03">
              <w:rPr>
                <w:b/>
                <w:i/>
              </w:rPr>
              <w:t>Servet Kamberaj v. Istituto per l’Edilizia Sociale della Provincia autonoma di Bolzano (IPES), Giunta della Provincia autonoma di Bolzano, Provincia Autonoma di Bolzano</w:t>
            </w:r>
          </w:p>
          <w:p w14:paraId="5FDC3494" w14:textId="77777777" w:rsidR="0062393D" w:rsidRDefault="0062393D" w:rsidP="0062393D">
            <w:pPr>
              <w:rPr>
                <w:iCs/>
                <w:lang w:val="en-US"/>
              </w:rPr>
            </w:pPr>
          </w:p>
          <w:p w14:paraId="1DD9F3B3" w14:textId="77777777" w:rsidR="0062393D" w:rsidRDefault="00CF573F" w:rsidP="0062393D">
            <w:pPr>
              <w:rPr>
                <w:iCs/>
              </w:rPr>
            </w:pPr>
            <w:r>
              <w:rPr>
                <w:i/>
              </w:rPr>
              <w:t>Klíčové pojmy</w:t>
            </w:r>
            <w:r w:rsidR="0062393D">
              <w:rPr>
                <w:i/>
                <w:iCs/>
              </w:rPr>
              <w:t xml:space="preserve">: </w:t>
            </w:r>
            <w:r>
              <w:rPr>
                <w:i/>
                <w:iCs/>
              </w:rPr>
              <w:t>p</w:t>
            </w:r>
            <w:r w:rsidR="0062393D">
              <w:rPr>
                <w:i/>
                <w:iCs/>
              </w:rPr>
              <w:t>rávo na sociální</w:t>
            </w:r>
            <w:r w:rsidR="00A54E6E">
              <w:rPr>
                <w:i/>
                <w:iCs/>
              </w:rPr>
              <w:t xml:space="preserve"> a </w:t>
            </w:r>
            <w:r w:rsidR="0062393D">
              <w:rPr>
                <w:i/>
                <w:iCs/>
              </w:rPr>
              <w:t xml:space="preserve">zdravotní pomoc – </w:t>
            </w:r>
            <w:r>
              <w:rPr>
                <w:i/>
                <w:iCs/>
              </w:rPr>
              <w:t>p</w:t>
            </w:r>
            <w:r w:rsidR="0062393D">
              <w:rPr>
                <w:i/>
                <w:iCs/>
              </w:rPr>
              <w:t>rávo na rovné zacházení</w:t>
            </w:r>
            <w:r w:rsidR="00A54E6E">
              <w:rPr>
                <w:i/>
                <w:iCs/>
              </w:rPr>
              <w:t xml:space="preserve"> v </w:t>
            </w:r>
            <w:r w:rsidR="0062393D">
              <w:rPr>
                <w:i/>
                <w:iCs/>
              </w:rPr>
              <w:t>oblastech sociálního zabezpečení, sociální podpory</w:t>
            </w:r>
            <w:r w:rsidR="00A54E6E">
              <w:rPr>
                <w:i/>
                <w:iCs/>
              </w:rPr>
              <w:t xml:space="preserve"> a </w:t>
            </w:r>
            <w:r w:rsidR="0062393D">
              <w:rPr>
                <w:i/>
                <w:iCs/>
              </w:rPr>
              <w:t xml:space="preserve">sociální ochrany – </w:t>
            </w:r>
            <w:r>
              <w:rPr>
                <w:i/>
                <w:iCs/>
              </w:rPr>
              <w:t>v</w:t>
            </w:r>
            <w:r w:rsidR="0062393D">
              <w:rPr>
                <w:i/>
                <w:iCs/>
              </w:rPr>
              <w:t>ýjimka ze zásady rovného zacházení pro opatření sociální podpory</w:t>
            </w:r>
            <w:r w:rsidR="00A54E6E">
              <w:rPr>
                <w:i/>
                <w:iCs/>
              </w:rPr>
              <w:t xml:space="preserve"> a </w:t>
            </w:r>
            <w:r w:rsidR="0062393D">
              <w:rPr>
                <w:i/>
                <w:iCs/>
              </w:rPr>
              <w:t xml:space="preserve">sociální ochrany – </w:t>
            </w:r>
            <w:r>
              <w:rPr>
                <w:i/>
                <w:iCs/>
              </w:rPr>
              <w:t>v</w:t>
            </w:r>
            <w:r w:rsidR="0062393D">
              <w:rPr>
                <w:i/>
                <w:iCs/>
              </w:rPr>
              <w:t xml:space="preserve">yloučení </w:t>
            </w:r>
            <w:r>
              <w:rPr>
                <w:i/>
                <w:iCs/>
              </w:rPr>
              <w:t>„</w:t>
            </w:r>
            <w:r w:rsidR="0062393D">
              <w:rPr>
                <w:i/>
                <w:iCs/>
              </w:rPr>
              <w:t>základních dávek</w:t>
            </w:r>
            <w:r>
              <w:rPr>
                <w:i/>
                <w:iCs/>
              </w:rPr>
              <w:t>“</w:t>
            </w:r>
            <w:r w:rsidR="00A54E6E">
              <w:rPr>
                <w:i/>
                <w:iCs/>
              </w:rPr>
              <w:t xml:space="preserve"> z </w:t>
            </w:r>
            <w:r w:rsidR="0062393D">
              <w:rPr>
                <w:i/>
                <w:iCs/>
              </w:rPr>
              <w:t xml:space="preserve">působnosti této výjimky – </w:t>
            </w:r>
            <w:r>
              <w:rPr>
                <w:i/>
                <w:iCs/>
              </w:rPr>
              <w:t>v</w:t>
            </w:r>
            <w:r w:rsidR="0062393D">
              <w:rPr>
                <w:i/>
                <w:iCs/>
              </w:rPr>
              <w:t xml:space="preserve">nitrostátní právní úprava stanovící příspěvek na bydlení pro nejméně majetné nájemce – </w:t>
            </w:r>
            <w:r>
              <w:rPr>
                <w:i/>
                <w:iCs/>
              </w:rPr>
              <w:t>v</w:t>
            </w:r>
            <w:r w:rsidR="0062393D">
              <w:rPr>
                <w:i/>
                <w:iCs/>
              </w:rPr>
              <w:t xml:space="preserve">ýše prostředků určených pro státní příslušníky třetích zemí určovaná na základě rozdílného váženého průměru – </w:t>
            </w:r>
            <w:r>
              <w:rPr>
                <w:i/>
                <w:iCs/>
              </w:rPr>
              <w:t>z</w:t>
            </w:r>
            <w:r w:rsidR="0062393D">
              <w:rPr>
                <w:i/>
                <w:iCs/>
              </w:rPr>
              <w:t>amítnutí žádosti</w:t>
            </w:r>
            <w:r w:rsidR="00A54E6E">
              <w:rPr>
                <w:i/>
                <w:iCs/>
              </w:rPr>
              <w:t xml:space="preserve"> o </w:t>
            </w:r>
            <w:r w:rsidR="0062393D">
              <w:rPr>
                <w:i/>
                <w:iCs/>
              </w:rPr>
              <w:t>příspěvek na bydlení</w:t>
            </w:r>
            <w:r w:rsidR="00A54E6E">
              <w:rPr>
                <w:i/>
                <w:iCs/>
              </w:rPr>
              <w:t xml:space="preserve"> z </w:t>
            </w:r>
            <w:r w:rsidR="0062393D">
              <w:rPr>
                <w:i/>
                <w:iCs/>
              </w:rPr>
              <w:t>důvodu vyčerpání rozpočtu určeného pro státní příslušníky třetích zemí</w:t>
            </w:r>
          </w:p>
          <w:p w14:paraId="4D66DD03" w14:textId="77777777" w:rsidR="00AA733C" w:rsidRDefault="00AA733C" w:rsidP="0062393D">
            <w:pPr>
              <w:rPr>
                <w:iCs/>
                <w:lang w:val="en-US"/>
              </w:rPr>
            </w:pPr>
          </w:p>
          <w:p w14:paraId="7E39A4C3" w14:textId="77777777" w:rsidR="00002A34" w:rsidRDefault="00002A34" w:rsidP="0062393D">
            <w:pPr>
              <w:rPr>
                <w:iCs/>
                <w:lang w:val="en-US"/>
              </w:rPr>
            </w:pPr>
          </w:p>
          <w:p w14:paraId="0472C388" w14:textId="77777777" w:rsidR="0062393D" w:rsidRPr="00AA733C" w:rsidRDefault="0062393D" w:rsidP="0062393D">
            <w:pPr>
              <w:pStyle w:val="Odstavecseseznamem"/>
              <w:numPr>
                <w:ilvl w:val="0"/>
                <w:numId w:val="3"/>
              </w:numPr>
              <w:rPr>
                <w:b/>
                <w:iCs/>
              </w:rPr>
            </w:pPr>
            <w:r>
              <w:rPr>
                <w:b/>
              </w:rPr>
              <w:t xml:space="preserve">SDEU, věc C-179/11: </w:t>
            </w:r>
            <w:r w:rsidRPr="008E6F03">
              <w:rPr>
                <w:b/>
                <w:i/>
              </w:rPr>
              <w:t>Cimade, Groupe d’information et de soutien des immigrés (GISTI) v. Ministre de l’Intérieur, de l’Outre-mer, des Collectivités territoriales et de l’Immigration</w:t>
            </w:r>
          </w:p>
          <w:p w14:paraId="41C3E118" w14:textId="77777777" w:rsidR="0062393D" w:rsidRDefault="0062393D" w:rsidP="0062393D">
            <w:pPr>
              <w:rPr>
                <w:iCs/>
                <w:lang w:val="en-US"/>
              </w:rPr>
            </w:pPr>
          </w:p>
          <w:p w14:paraId="129F2166" w14:textId="77777777" w:rsidR="0062393D" w:rsidRDefault="00CF573F" w:rsidP="0062393D">
            <w:pPr>
              <w:rPr>
                <w:i/>
                <w:iCs/>
              </w:rPr>
            </w:pPr>
            <w:r>
              <w:rPr>
                <w:i/>
              </w:rPr>
              <w:t>Klíčové pojmy</w:t>
            </w:r>
            <w:r w:rsidR="0062393D">
              <w:rPr>
                <w:i/>
              </w:rPr>
              <w:t xml:space="preserve">: </w:t>
            </w:r>
            <w:r>
              <w:rPr>
                <w:i/>
              </w:rPr>
              <w:t>m</w:t>
            </w:r>
            <w:r w:rsidR="0062393D">
              <w:rPr>
                <w:i/>
              </w:rPr>
              <w:t>inimální normy pro přijímání žadatelů</w:t>
            </w:r>
            <w:r w:rsidR="00A54E6E">
              <w:rPr>
                <w:i/>
              </w:rPr>
              <w:t xml:space="preserve"> o </w:t>
            </w:r>
            <w:r w:rsidR="0062393D">
              <w:rPr>
                <w:i/>
              </w:rPr>
              <w:t>azyl</w:t>
            </w:r>
            <w:r w:rsidR="00A54E6E">
              <w:rPr>
                <w:i/>
              </w:rPr>
              <w:t xml:space="preserve"> v </w:t>
            </w:r>
            <w:r w:rsidR="0062393D">
              <w:rPr>
                <w:i/>
              </w:rPr>
              <w:t xml:space="preserve">členských státech – </w:t>
            </w:r>
            <w:r>
              <w:rPr>
                <w:i/>
              </w:rPr>
              <w:t>p</w:t>
            </w:r>
            <w:r w:rsidR="0062393D">
              <w:rPr>
                <w:i/>
              </w:rPr>
              <w:t>ovinnost zajistit žadatelům</w:t>
            </w:r>
            <w:r w:rsidR="00A54E6E">
              <w:rPr>
                <w:i/>
              </w:rPr>
              <w:t xml:space="preserve"> o </w:t>
            </w:r>
            <w:r w:rsidR="0062393D">
              <w:rPr>
                <w:i/>
              </w:rPr>
              <w:t>azyl</w:t>
            </w:r>
            <w:r w:rsidR="00A54E6E">
              <w:rPr>
                <w:i/>
              </w:rPr>
              <w:t xml:space="preserve"> v </w:t>
            </w:r>
            <w:r w:rsidR="0062393D">
              <w:rPr>
                <w:i/>
              </w:rPr>
              <w:t>průběhu řízení</w:t>
            </w:r>
            <w:r w:rsidR="00A54E6E">
              <w:rPr>
                <w:i/>
              </w:rPr>
              <w:t xml:space="preserve"> o </w:t>
            </w:r>
            <w:r w:rsidR="0062393D">
              <w:rPr>
                <w:i/>
              </w:rPr>
              <w:t xml:space="preserve">převzetí nebo vzetí zpět příslušným členským státem minimální podmínky přijetí – </w:t>
            </w:r>
            <w:r>
              <w:rPr>
                <w:i/>
              </w:rPr>
              <w:t>u</w:t>
            </w:r>
            <w:r w:rsidR="0062393D">
              <w:rPr>
                <w:i/>
              </w:rPr>
              <w:t>rčení členského státu, který má povinnost nést finanční náklady související</w:t>
            </w:r>
            <w:r w:rsidR="00A54E6E">
              <w:rPr>
                <w:i/>
              </w:rPr>
              <w:t xml:space="preserve"> s </w:t>
            </w:r>
            <w:r w:rsidR="0062393D">
              <w:rPr>
                <w:i/>
              </w:rPr>
              <w:t>poskytováním minimálních podmínek</w:t>
            </w:r>
          </w:p>
          <w:p w14:paraId="7DD10B0F" w14:textId="77777777" w:rsidR="00002A34" w:rsidRDefault="00002A34" w:rsidP="0062393D">
            <w:pPr>
              <w:rPr>
                <w:i/>
                <w:iCs/>
                <w:lang w:val="en-US"/>
              </w:rPr>
            </w:pPr>
          </w:p>
          <w:p w14:paraId="57A249D1" w14:textId="77777777" w:rsidR="00AA733C" w:rsidRDefault="00AA733C" w:rsidP="00AA733C">
            <w:pPr>
              <w:pStyle w:val="Odstavecseseznamem"/>
              <w:numPr>
                <w:ilvl w:val="0"/>
                <w:numId w:val="3"/>
              </w:numPr>
              <w:rPr>
                <w:b/>
                <w:iCs/>
              </w:rPr>
            </w:pPr>
            <w:r>
              <w:rPr>
                <w:b/>
              </w:rPr>
              <w:t xml:space="preserve">SDEU, věc C-333/13: </w:t>
            </w:r>
            <w:r w:rsidRPr="008E6F03">
              <w:rPr>
                <w:b/>
                <w:i/>
              </w:rPr>
              <w:t>Elisabeta Dano</w:t>
            </w:r>
            <w:r w:rsidR="00A54E6E">
              <w:rPr>
                <w:b/>
                <w:i/>
              </w:rPr>
              <w:t xml:space="preserve"> </w:t>
            </w:r>
            <w:r w:rsidR="00A54E6E" w:rsidRPr="008E6F03">
              <w:rPr>
                <w:b/>
                <w:i/>
              </w:rPr>
              <w:t>a</w:t>
            </w:r>
            <w:r w:rsidR="00A54E6E">
              <w:rPr>
                <w:b/>
                <w:i/>
              </w:rPr>
              <w:t> </w:t>
            </w:r>
            <w:r w:rsidRPr="008E6F03">
              <w:rPr>
                <w:b/>
                <w:i/>
              </w:rPr>
              <w:t>Florin Dano v. Jobcenter Leipzig</w:t>
            </w:r>
          </w:p>
          <w:p w14:paraId="07F6AB13" w14:textId="77777777" w:rsidR="00002A34" w:rsidRDefault="00002A34" w:rsidP="00AA733C">
            <w:pPr>
              <w:rPr>
                <w:b/>
                <w:iCs/>
                <w:lang w:val="en-US"/>
              </w:rPr>
            </w:pPr>
          </w:p>
          <w:p w14:paraId="1D0DAAB5" w14:textId="77777777" w:rsidR="00AA733C" w:rsidRPr="00AA733C" w:rsidRDefault="00CF573F" w:rsidP="00AA733C">
            <w:pPr>
              <w:rPr>
                <w:i/>
                <w:iCs/>
              </w:rPr>
            </w:pPr>
            <w:r>
              <w:rPr>
                <w:i/>
              </w:rPr>
              <w:t>Klíčové pojmy</w:t>
            </w:r>
            <w:r w:rsidR="00AA733C">
              <w:rPr>
                <w:i/>
              </w:rPr>
              <w:t xml:space="preserve">: </w:t>
            </w:r>
            <w:r>
              <w:rPr>
                <w:i/>
              </w:rPr>
              <w:t>v</w:t>
            </w:r>
            <w:r w:rsidR="00AA733C">
              <w:rPr>
                <w:i/>
              </w:rPr>
              <w:t xml:space="preserve">olný pohyb osob </w:t>
            </w:r>
            <w:r>
              <w:rPr>
                <w:i/>
              </w:rPr>
              <w:t>–</w:t>
            </w:r>
            <w:r w:rsidR="00AA733C">
              <w:rPr>
                <w:i/>
              </w:rPr>
              <w:t xml:space="preserve"> </w:t>
            </w:r>
            <w:r>
              <w:rPr>
                <w:i/>
              </w:rPr>
              <w:t>o</w:t>
            </w:r>
            <w:r w:rsidR="00AA733C">
              <w:rPr>
                <w:i/>
              </w:rPr>
              <w:t xml:space="preserve">bčanství Unie — </w:t>
            </w:r>
            <w:r>
              <w:rPr>
                <w:i/>
              </w:rPr>
              <w:t>r</w:t>
            </w:r>
            <w:r w:rsidR="00AA733C">
              <w:rPr>
                <w:i/>
              </w:rPr>
              <w:t xml:space="preserve">ovné zacházení </w:t>
            </w:r>
            <w:r>
              <w:rPr>
                <w:i/>
              </w:rPr>
              <w:t>–</w:t>
            </w:r>
            <w:r w:rsidR="00AA733C">
              <w:rPr>
                <w:i/>
              </w:rPr>
              <w:t xml:space="preserve"> </w:t>
            </w:r>
            <w:r>
              <w:rPr>
                <w:i/>
              </w:rPr>
              <w:t>s</w:t>
            </w:r>
            <w:r w:rsidR="00AA733C">
              <w:rPr>
                <w:i/>
              </w:rPr>
              <w:t>tátní příslušníci členského státu, kteří nejsou hospodářsky činní</w:t>
            </w:r>
            <w:r w:rsidR="00A54E6E">
              <w:rPr>
                <w:i/>
              </w:rPr>
              <w:t xml:space="preserve"> a </w:t>
            </w:r>
            <w:r w:rsidR="00AA733C">
              <w:rPr>
                <w:i/>
              </w:rPr>
              <w:t xml:space="preserve">pobývají na území jiného členského státu </w:t>
            </w:r>
            <w:r>
              <w:rPr>
                <w:i/>
              </w:rPr>
              <w:t>–</w:t>
            </w:r>
            <w:r w:rsidR="00AA733C">
              <w:rPr>
                <w:i/>
              </w:rPr>
              <w:t xml:space="preserve"> </w:t>
            </w:r>
            <w:r>
              <w:rPr>
                <w:i/>
              </w:rPr>
              <w:t>p</w:t>
            </w:r>
            <w:r w:rsidR="00AA733C">
              <w:rPr>
                <w:i/>
              </w:rPr>
              <w:t xml:space="preserve">rávo pobytu nad tři měsíce </w:t>
            </w:r>
            <w:r>
              <w:rPr>
                <w:i/>
              </w:rPr>
              <w:t>–</w:t>
            </w:r>
            <w:r w:rsidR="00AA733C">
              <w:rPr>
                <w:i/>
              </w:rPr>
              <w:t xml:space="preserve"> </w:t>
            </w:r>
            <w:r>
              <w:rPr>
                <w:i/>
              </w:rPr>
              <w:t>p</w:t>
            </w:r>
            <w:r w:rsidR="00AA733C">
              <w:rPr>
                <w:i/>
              </w:rPr>
              <w:t>odmínka týkající se dostatečných prostředků</w:t>
            </w:r>
          </w:p>
          <w:p w14:paraId="305A9B13" w14:textId="77777777" w:rsidR="0062393D" w:rsidRPr="0062393D" w:rsidRDefault="0062393D" w:rsidP="0062393D">
            <w:pPr>
              <w:rPr>
                <w:b/>
                <w:iCs/>
                <w:lang w:val="en-US"/>
              </w:rPr>
            </w:pPr>
          </w:p>
        </w:tc>
      </w:tr>
      <w:tr w:rsidR="00664DF4" w:rsidRPr="00470C01" w14:paraId="5169AD91" w14:textId="77777777" w:rsidTr="009E43DA">
        <w:tc>
          <w:tcPr>
            <w:tcW w:w="9180" w:type="dxa"/>
          </w:tcPr>
          <w:p w14:paraId="44998AAB" w14:textId="77777777" w:rsidR="00664DF4" w:rsidRPr="00470C01" w:rsidRDefault="00664DF4" w:rsidP="00CD2B58">
            <w:pPr>
              <w:rPr>
                <w:rFonts w:ascii="Calibri" w:hAnsi="Calibri" w:cs="Calibri"/>
                <w:b/>
                <w:bCs/>
              </w:rPr>
            </w:pPr>
            <w:r>
              <w:rPr>
                <w:rFonts w:ascii="Calibri" w:hAnsi="Calibri"/>
                <w:b/>
              </w:rPr>
              <w:lastRenderedPageBreak/>
              <w:t>Důležité</w:t>
            </w:r>
          </w:p>
        </w:tc>
      </w:tr>
      <w:tr w:rsidR="00664DF4" w:rsidRPr="00470C01" w14:paraId="37BD6AC3" w14:textId="77777777" w:rsidTr="009E43DA">
        <w:tc>
          <w:tcPr>
            <w:tcW w:w="9180" w:type="dxa"/>
          </w:tcPr>
          <w:p w14:paraId="5E347FA5" w14:textId="77777777" w:rsidR="00664DF4" w:rsidRDefault="00D306E2" w:rsidP="00D306E2">
            <w:pPr>
              <w:jc w:val="both"/>
              <w:rPr>
                <w:rFonts w:ascii="Calibri" w:hAnsi="Calibri" w:cs="Calibri"/>
                <w:iCs/>
              </w:rPr>
            </w:pPr>
            <w:r>
              <w:rPr>
                <w:rFonts w:ascii="Calibri" w:hAnsi="Calibri"/>
              </w:rPr>
              <w:t>S ohledem na teorii společenské smlouvy mezi EU</w:t>
            </w:r>
            <w:r w:rsidR="00A54E6E">
              <w:rPr>
                <w:rFonts w:ascii="Calibri" w:hAnsi="Calibri"/>
              </w:rPr>
              <w:t xml:space="preserve"> a </w:t>
            </w:r>
            <w:r>
              <w:rPr>
                <w:rFonts w:ascii="Calibri" w:hAnsi="Calibri"/>
              </w:rPr>
              <w:t>jejími občany není Unie pouze hospodářským, ale</w:t>
            </w:r>
            <w:r w:rsidR="00A54E6E">
              <w:rPr>
                <w:rFonts w:ascii="Calibri" w:hAnsi="Calibri"/>
              </w:rPr>
              <w:t xml:space="preserve"> i </w:t>
            </w:r>
            <w:r>
              <w:rPr>
                <w:rFonts w:ascii="Calibri" w:hAnsi="Calibri"/>
              </w:rPr>
              <w:t>sociálním útvarem. Soud připravený chránit základní pilíře definující lidskost – respektování</w:t>
            </w:r>
            <w:r w:rsidR="00A54E6E">
              <w:rPr>
                <w:rFonts w:ascii="Calibri" w:hAnsi="Calibri"/>
              </w:rPr>
              <w:t xml:space="preserve"> a </w:t>
            </w:r>
            <w:r>
              <w:rPr>
                <w:rFonts w:ascii="Calibri" w:hAnsi="Calibri"/>
              </w:rPr>
              <w:t>bránění naší fyzické nedotknutelnosti</w:t>
            </w:r>
            <w:r w:rsidR="00A54E6E">
              <w:rPr>
                <w:rFonts w:ascii="Calibri" w:hAnsi="Calibri"/>
              </w:rPr>
              <w:t xml:space="preserve"> a </w:t>
            </w:r>
            <w:r>
              <w:rPr>
                <w:rFonts w:ascii="Calibri" w:hAnsi="Calibri"/>
              </w:rPr>
              <w:t>zranitelnosti – bude považován za instituci, která se dokáže během mimořádně obtížné finanční situace za lidi postavit. Rozhodne-li se soud takto postupovat, má</w:t>
            </w:r>
            <w:r w:rsidR="00A54E6E">
              <w:rPr>
                <w:rFonts w:ascii="Calibri" w:hAnsi="Calibri"/>
              </w:rPr>
              <w:t xml:space="preserve"> k </w:t>
            </w:r>
            <w:r>
              <w:rPr>
                <w:rFonts w:ascii="Calibri" w:hAnsi="Calibri"/>
              </w:rPr>
              <w:t>dispozici bohaté zdroje. Lidská důstojnost je implicitně zaručována judikaturou</w:t>
            </w:r>
            <w:r w:rsidR="00A54E6E">
              <w:rPr>
                <w:rFonts w:ascii="Calibri" w:hAnsi="Calibri"/>
              </w:rPr>
              <w:t xml:space="preserve"> a </w:t>
            </w:r>
            <w:r>
              <w:rPr>
                <w:rFonts w:ascii="Calibri" w:hAnsi="Calibri"/>
              </w:rPr>
              <w:t>soudním výkladem dokumentů zaručujících lidská práva</w:t>
            </w:r>
            <w:r w:rsidR="00A54E6E">
              <w:rPr>
                <w:rFonts w:ascii="Calibri" w:hAnsi="Calibri"/>
              </w:rPr>
              <w:t xml:space="preserve"> v </w:t>
            </w:r>
            <w:r>
              <w:rPr>
                <w:rFonts w:ascii="Calibri" w:hAnsi="Calibri"/>
              </w:rPr>
              <w:t>mnoha dalších členských státech EU</w:t>
            </w:r>
            <w:r w:rsidR="00A54E6E">
              <w:rPr>
                <w:rFonts w:ascii="Calibri" w:hAnsi="Calibri"/>
              </w:rPr>
              <w:t xml:space="preserve"> a </w:t>
            </w:r>
            <w:r>
              <w:rPr>
                <w:rFonts w:ascii="Calibri" w:hAnsi="Calibri"/>
              </w:rPr>
              <w:t>je zakotvena</w:t>
            </w:r>
            <w:r w:rsidR="00A54E6E">
              <w:rPr>
                <w:rFonts w:ascii="Calibri" w:hAnsi="Calibri"/>
              </w:rPr>
              <w:t xml:space="preserve"> v </w:t>
            </w:r>
            <w:r>
              <w:rPr>
                <w:rFonts w:ascii="Calibri" w:hAnsi="Calibri"/>
              </w:rPr>
              <w:t>ústavním pořádku dvaceti</w:t>
            </w:r>
            <w:r w:rsidR="00A54E6E">
              <w:rPr>
                <w:rFonts w:ascii="Calibri" w:hAnsi="Calibri"/>
              </w:rPr>
              <w:t xml:space="preserve"> z </w:t>
            </w:r>
            <w:r>
              <w:rPr>
                <w:rFonts w:ascii="Calibri" w:hAnsi="Calibri"/>
              </w:rPr>
              <w:t>nich.</w:t>
            </w:r>
            <w:r w:rsidR="00A54E6E">
              <w:rPr>
                <w:rFonts w:ascii="Calibri" w:hAnsi="Calibri"/>
              </w:rPr>
              <w:t xml:space="preserve"> V </w:t>
            </w:r>
            <w:r>
              <w:rPr>
                <w:rFonts w:ascii="Calibri" w:hAnsi="Calibri"/>
              </w:rPr>
              <w:t>mnoha oblastech, jako je nedotknutelnost osoby, rovnost, bezpečnost, zákaz mučení, právo na soukromí, osobní rozvoj, spravedlivé pracovní podmínky</w:t>
            </w:r>
            <w:r w:rsidR="00A54E6E">
              <w:rPr>
                <w:rFonts w:ascii="Calibri" w:hAnsi="Calibri"/>
              </w:rPr>
              <w:t xml:space="preserve"> a </w:t>
            </w:r>
            <w:r>
              <w:rPr>
                <w:rFonts w:ascii="Calibri" w:hAnsi="Calibri"/>
              </w:rPr>
              <w:t>vhodné bydlení, je právní dosah lidské důstojnosti velmi podobný. Tyto podobnosti lze najít jak</w:t>
            </w:r>
            <w:r w:rsidR="00A54E6E">
              <w:rPr>
                <w:rFonts w:ascii="Calibri" w:hAnsi="Calibri"/>
              </w:rPr>
              <w:t xml:space="preserve"> v </w:t>
            </w:r>
            <w:r>
              <w:rPr>
                <w:rFonts w:ascii="Calibri" w:hAnsi="Calibri"/>
              </w:rPr>
              <w:t>části Listiny týkající se solidarity, tak</w:t>
            </w:r>
            <w:r w:rsidR="00A54E6E">
              <w:rPr>
                <w:rFonts w:ascii="Calibri" w:hAnsi="Calibri"/>
              </w:rPr>
              <w:t xml:space="preserve"> v </w:t>
            </w:r>
            <w:r>
              <w:rPr>
                <w:rFonts w:ascii="Calibri" w:hAnsi="Calibri"/>
              </w:rPr>
              <w:t>její kapitole</w:t>
            </w:r>
            <w:r w:rsidR="00A54E6E">
              <w:rPr>
                <w:rFonts w:ascii="Calibri" w:hAnsi="Calibri"/>
              </w:rPr>
              <w:t xml:space="preserve"> o </w:t>
            </w:r>
            <w:r>
              <w:rPr>
                <w:rFonts w:ascii="Calibri" w:hAnsi="Calibri"/>
              </w:rPr>
              <w:t>lidské důstojnosti.</w:t>
            </w:r>
          </w:p>
          <w:p w14:paraId="1F11D355" w14:textId="77777777" w:rsidR="00D306E2" w:rsidRDefault="00D306E2" w:rsidP="00D306E2">
            <w:pPr>
              <w:jc w:val="both"/>
              <w:rPr>
                <w:rFonts w:ascii="Calibri" w:hAnsi="Calibri" w:cs="Calibri"/>
                <w:iCs/>
                <w:lang w:val="en-US"/>
              </w:rPr>
            </w:pPr>
          </w:p>
          <w:p w14:paraId="09E5170F" w14:textId="77777777" w:rsidR="00D306E2" w:rsidRDefault="00D306E2" w:rsidP="00D306E2">
            <w:pPr>
              <w:jc w:val="both"/>
              <w:rPr>
                <w:rFonts w:ascii="Calibri" w:hAnsi="Calibri"/>
              </w:rPr>
            </w:pPr>
            <w:r>
              <w:rPr>
                <w:rFonts w:ascii="Calibri" w:hAnsi="Calibri"/>
              </w:rPr>
              <w:t>Advokáti</w:t>
            </w:r>
            <w:r w:rsidR="00A54E6E">
              <w:rPr>
                <w:rFonts w:ascii="Calibri" w:hAnsi="Calibri"/>
              </w:rPr>
              <w:t xml:space="preserve"> s </w:t>
            </w:r>
            <w:r>
              <w:rPr>
                <w:rFonts w:ascii="Calibri" w:hAnsi="Calibri"/>
              </w:rPr>
              <w:t>ohledem na to musí uvážit následující aspekty. Lidská práva jsou nedělitelná, vzájemně provázaná</w:t>
            </w:r>
            <w:r w:rsidR="00A54E6E">
              <w:rPr>
                <w:rFonts w:ascii="Calibri" w:hAnsi="Calibri"/>
              </w:rPr>
              <w:t xml:space="preserve"> a </w:t>
            </w:r>
            <w:r>
              <w:rPr>
                <w:rFonts w:ascii="Calibri" w:hAnsi="Calibri"/>
              </w:rPr>
              <w:t>propojená. Jak může důstojnost posilovat lidská práva</w:t>
            </w:r>
            <w:r w:rsidR="00A54E6E">
              <w:rPr>
                <w:rFonts w:ascii="Calibri" w:hAnsi="Calibri"/>
              </w:rPr>
              <w:t xml:space="preserve"> v </w:t>
            </w:r>
            <w:r>
              <w:rPr>
                <w:rFonts w:ascii="Calibri" w:hAnsi="Calibri"/>
              </w:rPr>
              <w:t>dalších oblastech soudního rozhodování</w:t>
            </w:r>
            <w:r w:rsidR="00A54E6E">
              <w:rPr>
                <w:rFonts w:ascii="Calibri" w:hAnsi="Calibri"/>
              </w:rPr>
              <w:t xml:space="preserve"> o </w:t>
            </w:r>
            <w:r>
              <w:rPr>
                <w:rFonts w:ascii="Calibri" w:hAnsi="Calibri"/>
              </w:rPr>
              <w:t>lidských právech? Jsou</w:t>
            </w:r>
            <w:r w:rsidR="00A54E6E">
              <w:rPr>
                <w:rFonts w:ascii="Calibri" w:hAnsi="Calibri"/>
              </w:rPr>
              <w:t xml:space="preserve"> v </w:t>
            </w:r>
            <w:r>
              <w:rPr>
                <w:rFonts w:ascii="Calibri" w:hAnsi="Calibri"/>
              </w:rPr>
              <w:t>předpisu obsaženy prvky související</w:t>
            </w:r>
            <w:r w:rsidR="00A54E6E">
              <w:rPr>
                <w:rFonts w:ascii="Calibri" w:hAnsi="Calibri"/>
              </w:rPr>
              <w:t xml:space="preserve"> s </w:t>
            </w:r>
            <w:r>
              <w:rPr>
                <w:rFonts w:ascii="Calibri" w:hAnsi="Calibri"/>
              </w:rPr>
              <w:t>důstojností</w:t>
            </w:r>
            <w:r w:rsidR="00A54E6E">
              <w:rPr>
                <w:rFonts w:ascii="Calibri" w:hAnsi="Calibri"/>
              </w:rPr>
              <w:t xml:space="preserve"> a </w:t>
            </w:r>
            <w:r>
              <w:rPr>
                <w:rFonts w:ascii="Calibri" w:hAnsi="Calibri"/>
              </w:rPr>
              <w:t>naopak? Jak široké</w:t>
            </w:r>
            <w:r w:rsidR="00A54E6E">
              <w:rPr>
                <w:rFonts w:ascii="Calibri" w:hAnsi="Calibri"/>
              </w:rPr>
              <w:t xml:space="preserve"> a </w:t>
            </w:r>
            <w:r>
              <w:rPr>
                <w:rFonts w:ascii="Calibri" w:hAnsi="Calibri"/>
              </w:rPr>
              <w:t>bohaté je zaměření evropské politiky</w:t>
            </w:r>
            <w:r w:rsidR="00A54E6E">
              <w:rPr>
                <w:rFonts w:ascii="Calibri" w:hAnsi="Calibri"/>
              </w:rPr>
              <w:t xml:space="preserve"> a </w:t>
            </w:r>
            <w:r>
              <w:rPr>
                <w:rFonts w:ascii="Calibri" w:hAnsi="Calibri"/>
              </w:rPr>
              <w:t xml:space="preserve">zákonodárné činnosti na lidskou důstojnost? </w:t>
            </w:r>
          </w:p>
          <w:p w14:paraId="34B25040" w14:textId="77777777" w:rsidR="00002A34" w:rsidRPr="00D306E2" w:rsidRDefault="00002A34" w:rsidP="00D306E2">
            <w:pPr>
              <w:jc w:val="both"/>
              <w:rPr>
                <w:rFonts w:ascii="Calibri" w:hAnsi="Calibri" w:cs="Calibri"/>
                <w:iCs/>
              </w:rPr>
            </w:pPr>
          </w:p>
        </w:tc>
      </w:tr>
      <w:tr w:rsidR="00664DF4" w:rsidRPr="00470C01" w14:paraId="671E9F83" w14:textId="77777777" w:rsidTr="009E43DA">
        <w:tc>
          <w:tcPr>
            <w:tcW w:w="9180" w:type="dxa"/>
          </w:tcPr>
          <w:p w14:paraId="78B58790" w14:textId="77777777" w:rsidR="00664DF4" w:rsidRPr="00470C01" w:rsidRDefault="00664DF4" w:rsidP="00CD2B58">
            <w:pPr>
              <w:rPr>
                <w:rFonts w:ascii="Calibri" w:hAnsi="Calibri" w:cs="Calibri"/>
                <w:b/>
                <w:bCs/>
              </w:rPr>
            </w:pPr>
            <w:r>
              <w:rPr>
                <w:rFonts w:ascii="Calibri" w:hAnsi="Calibri"/>
                <w:b/>
              </w:rPr>
              <w:t>Soulad</w:t>
            </w:r>
            <w:r w:rsidR="00A54E6E">
              <w:rPr>
                <w:rFonts w:ascii="Calibri" w:hAnsi="Calibri"/>
                <w:b/>
              </w:rPr>
              <w:t xml:space="preserve"> s </w:t>
            </w:r>
            <w:r>
              <w:rPr>
                <w:rFonts w:ascii="Calibri" w:hAnsi="Calibri"/>
                <w:b/>
              </w:rPr>
              <w:t>dalšími evropskými/mezinárodními dokumenty</w:t>
            </w:r>
          </w:p>
        </w:tc>
      </w:tr>
      <w:tr w:rsidR="00664DF4" w:rsidRPr="00470C01" w14:paraId="3E9E344B" w14:textId="77777777" w:rsidTr="009E43DA">
        <w:tc>
          <w:tcPr>
            <w:tcW w:w="9180" w:type="dxa"/>
          </w:tcPr>
          <w:p w14:paraId="1CDA5CB4" w14:textId="77777777" w:rsidR="00664DF4" w:rsidRDefault="00664DF4" w:rsidP="00CD2B58">
            <w:pPr>
              <w:rPr>
                <w:rFonts w:ascii="Calibri" w:hAnsi="Calibri" w:cs="Calibri"/>
                <w:i/>
                <w:iCs/>
                <w:lang w:val="en-US"/>
              </w:rPr>
            </w:pPr>
          </w:p>
          <w:p w14:paraId="00231F64" w14:textId="77777777" w:rsidR="00664DF4" w:rsidRDefault="00BC3FCB" w:rsidP="00CD2B58">
            <w:pPr>
              <w:rPr>
                <w:rFonts w:ascii="Calibri" w:hAnsi="Calibri" w:cs="Calibri"/>
              </w:rPr>
            </w:pPr>
            <w:r>
              <w:rPr>
                <w:rFonts w:ascii="Calibri" w:hAnsi="Calibri"/>
              </w:rPr>
              <w:t>Článek 1, UDHR</w:t>
            </w:r>
          </w:p>
          <w:p w14:paraId="5E77E311" w14:textId="77777777" w:rsidR="00664DF4" w:rsidRDefault="00664DF4" w:rsidP="00CD2B58">
            <w:pPr>
              <w:rPr>
                <w:rFonts w:ascii="Calibri" w:hAnsi="Calibri" w:cs="Calibri"/>
              </w:rPr>
            </w:pPr>
            <w:r>
              <w:rPr>
                <w:rFonts w:ascii="Calibri" w:hAnsi="Calibri"/>
              </w:rPr>
              <w:t>Článek 3, EÚLP</w:t>
            </w:r>
          </w:p>
          <w:p w14:paraId="384EF5AB" w14:textId="77777777" w:rsidR="00664DF4" w:rsidRDefault="00BC3FCB" w:rsidP="00CD2B58">
            <w:pPr>
              <w:rPr>
                <w:rFonts w:ascii="Calibri" w:hAnsi="Calibri" w:cs="Calibri"/>
              </w:rPr>
            </w:pPr>
            <w:r>
              <w:rPr>
                <w:rFonts w:ascii="Calibri" w:hAnsi="Calibri"/>
              </w:rPr>
              <w:t>Článek 1, ICCPR</w:t>
            </w:r>
          </w:p>
          <w:p w14:paraId="483377F6" w14:textId="77777777" w:rsidR="00BC3FCB" w:rsidRDefault="00BC3FCB" w:rsidP="00CD2B58">
            <w:pPr>
              <w:rPr>
                <w:rFonts w:ascii="Calibri" w:hAnsi="Calibri" w:cs="Calibri"/>
              </w:rPr>
            </w:pPr>
            <w:r>
              <w:rPr>
                <w:rFonts w:ascii="Calibri" w:hAnsi="Calibri"/>
              </w:rPr>
              <w:t xml:space="preserve">Článek 1, ICESCR </w:t>
            </w:r>
          </w:p>
          <w:p w14:paraId="798E0635" w14:textId="77777777" w:rsidR="00BC3FCB" w:rsidRDefault="00BC3FCB" w:rsidP="00CD2B58">
            <w:pPr>
              <w:rPr>
                <w:rFonts w:ascii="Calibri" w:hAnsi="Calibri" w:cs="Calibri"/>
              </w:rPr>
            </w:pPr>
            <w:r>
              <w:rPr>
                <w:rFonts w:ascii="Calibri" w:hAnsi="Calibri"/>
              </w:rPr>
              <w:t xml:space="preserve">Rezoluce Valného shromáždění OSN </w:t>
            </w:r>
            <w:r w:rsidR="00A54E6E">
              <w:rPr>
                <w:rFonts w:ascii="Calibri" w:hAnsi="Calibri"/>
              </w:rPr>
              <w:t>č. </w:t>
            </w:r>
            <w:r>
              <w:rPr>
                <w:rFonts w:ascii="Calibri" w:hAnsi="Calibri"/>
              </w:rPr>
              <w:t>70/175 (2015) – Minimální standardy OSN zacházení</w:t>
            </w:r>
            <w:r w:rsidR="00A54E6E">
              <w:rPr>
                <w:rFonts w:ascii="Calibri" w:hAnsi="Calibri"/>
              </w:rPr>
              <w:t xml:space="preserve"> s </w:t>
            </w:r>
            <w:r>
              <w:rPr>
                <w:rFonts w:ascii="Calibri" w:hAnsi="Calibri"/>
              </w:rPr>
              <w:t>vězněnými osobami (Pravidla Nelsona Mandely)</w:t>
            </w:r>
          </w:p>
          <w:p w14:paraId="58912A65" w14:textId="77777777" w:rsidR="00664DF4" w:rsidRDefault="008E3D3E" w:rsidP="008E3D3E">
            <w:pPr>
              <w:rPr>
                <w:rFonts w:ascii="Calibri" w:hAnsi="Calibri" w:cs="Calibri"/>
              </w:rPr>
            </w:pPr>
            <w:r>
              <w:rPr>
                <w:rFonts w:ascii="Calibri" w:hAnsi="Calibri"/>
              </w:rPr>
              <w:t>Úmluva OSN proti mučení</w:t>
            </w:r>
          </w:p>
          <w:p w14:paraId="54144A5E" w14:textId="77777777" w:rsidR="00D4054E" w:rsidRDefault="00BC3FCB" w:rsidP="008E3D3E">
            <w:r>
              <w:t>Článek 3 společný Ženevským úmluvám I-IV</w:t>
            </w:r>
          </w:p>
          <w:p w14:paraId="2975E4A5" w14:textId="77777777" w:rsidR="00D4054E" w:rsidRDefault="00D4054E" w:rsidP="00D4054E">
            <w:r>
              <w:t>Evropská úmluva</w:t>
            </w:r>
            <w:r w:rsidR="00A54E6E">
              <w:t xml:space="preserve"> o </w:t>
            </w:r>
            <w:r>
              <w:t>zabránění mučení</w:t>
            </w:r>
            <w:r w:rsidR="00A54E6E">
              <w:t xml:space="preserve"> a </w:t>
            </w:r>
            <w:r>
              <w:t>nelidskému či ponižujícímu zacházení nebo trestání</w:t>
            </w:r>
            <w:r w:rsidR="00A54E6E">
              <w:t xml:space="preserve"> z </w:t>
            </w:r>
            <w:r>
              <w:t>roku 1987</w:t>
            </w:r>
          </w:p>
          <w:p w14:paraId="2AD16862" w14:textId="77777777" w:rsidR="008E3D3E" w:rsidRPr="00470C01" w:rsidRDefault="008E3D3E" w:rsidP="008E3D3E">
            <w:pPr>
              <w:rPr>
                <w:rFonts w:ascii="Calibri" w:hAnsi="Calibri" w:cs="Calibri"/>
                <w:i/>
                <w:iCs/>
                <w:lang w:val="en-US"/>
              </w:rPr>
            </w:pPr>
          </w:p>
        </w:tc>
      </w:tr>
      <w:tr w:rsidR="00664DF4" w:rsidRPr="00470C01" w14:paraId="49930421" w14:textId="77777777" w:rsidTr="009E43DA">
        <w:tc>
          <w:tcPr>
            <w:tcW w:w="9180" w:type="dxa"/>
          </w:tcPr>
          <w:p w14:paraId="56490008" w14:textId="77777777" w:rsidR="00664DF4" w:rsidRPr="00470C01" w:rsidRDefault="00664DF4" w:rsidP="00CD2B58">
            <w:pPr>
              <w:rPr>
                <w:b/>
                <w:bCs/>
                <w:color w:val="000000" w:themeColor="text1"/>
              </w:rPr>
            </w:pPr>
            <w:r>
              <w:rPr>
                <w:b/>
                <w:color w:val="000000" w:themeColor="text1"/>
              </w:rPr>
              <w:t>Další zdroje</w:t>
            </w:r>
          </w:p>
        </w:tc>
      </w:tr>
      <w:tr w:rsidR="00664DF4" w:rsidRPr="00470C01" w14:paraId="1D9A18D8" w14:textId="77777777" w:rsidTr="009E43DA">
        <w:tc>
          <w:tcPr>
            <w:tcW w:w="9180" w:type="dxa"/>
          </w:tcPr>
          <w:p w14:paraId="28123BEF" w14:textId="77777777" w:rsidR="00FA4D1E" w:rsidRDefault="00FA4D1E" w:rsidP="00FA4D1E">
            <w:pPr>
              <w:pStyle w:val="Odstavecseseznamem"/>
              <w:numPr>
                <w:ilvl w:val="0"/>
                <w:numId w:val="3"/>
              </w:numPr>
              <w:rPr>
                <w:iCs/>
                <w:color w:val="000000" w:themeColor="text1"/>
              </w:rPr>
            </w:pPr>
            <w:r>
              <w:rPr>
                <w:color w:val="000000" w:themeColor="text1"/>
              </w:rPr>
              <w:t>Thamil Venthan Ananthavinayagan, Amritha V. Shenoy: The Wretched of the Global South – Critical Approaches to International Human Rights Law (</w:t>
            </w:r>
            <w:r>
              <w:rPr>
                <w:i/>
                <w:iCs/>
                <w:color w:val="000000" w:themeColor="text1"/>
              </w:rPr>
              <w:t>Ztroskotanci globálního Jihu – Kritické přístupy</w:t>
            </w:r>
            <w:r w:rsidR="00A54E6E">
              <w:rPr>
                <w:i/>
                <w:iCs/>
                <w:color w:val="000000" w:themeColor="text1"/>
              </w:rPr>
              <w:t xml:space="preserve"> k </w:t>
            </w:r>
            <w:r>
              <w:rPr>
                <w:i/>
                <w:iCs/>
                <w:color w:val="000000" w:themeColor="text1"/>
              </w:rPr>
              <w:t>mezinárodnímu právu</w:t>
            </w:r>
            <w:r w:rsidR="00A54E6E">
              <w:rPr>
                <w:i/>
                <w:iCs/>
                <w:color w:val="000000" w:themeColor="text1"/>
              </w:rPr>
              <w:t xml:space="preserve"> o </w:t>
            </w:r>
            <w:r>
              <w:rPr>
                <w:i/>
                <w:iCs/>
                <w:color w:val="000000" w:themeColor="text1"/>
              </w:rPr>
              <w:t>lidských právech</w:t>
            </w:r>
            <w:r>
              <w:rPr>
                <w:color w:val="000000" w:themeColor="text1"/>
              </w:rPr>
              <w:t xml:space="preserve">), Springer, 2014 </w:t>
            </w:r>
          </w:p>
          <w:p w14:paraId="5E920069" w14:textId="77777777" w:rsidR="005E5EF0" w:rsidRPr="00FA4D1E" w:rsidRDefault="005E5EF0" w:rsidP="005E5EF0">
            <w:pPr>
              <w:pStyle w:val="Odstavecseseznamem"/>
              <w:numPr>
                <w:ilvl w:val="0"/>
                <w:numId w:val="3"/>
              </w:numPr>
              <w:rPr>
                <w:iCs/>
                <w:color w:val="000000" w:themeColor="text1"/>
              </w:rPr>
            </w:pPr>
            <w:r>
              <w:rPr>
                <w:color w:val="000000" w:themeColor="text1"/>
              </w:rPr>
              <w:t>Paolo Becchi, Klaus Mathis: Handbook of Human Dignity in Europe (</w:t>
            </w:r>
            <w:r>
              <w:rPr>
                <w:i/>
                <w:iCs/>
                <w:color w:val="000000" w:themeColor="text1"/>
              </w:rPr>
              <w:t>Příručka</w:t>
            </w:r>
            <w:r w:rsidR="00A54E6E">
              <w:rPr>
                <w:i/>
                <w:iCs/>
                <w:color w:val="000000" w:themeColor="text1"/>
              </w:rPr>
              <w:t xml:space="preserve"> o </w:t>
            </w:r>
            <w:r>
              <w:rPr>
                <w:i/>
                <w:iCs/>
                <w:color w:val="000000" w:themeColor="text1"/>
              </w:rPr>
              <w:t>lidské důstojnosti</w:t>
            </w:r>
            <w:r w:rsidR="00A54E6E">
              <w:rPr>
                <w:i/>
                <w:iCs/>
                <w:color w:val="000000" w:themeColor="text1"/>
              </w:rPr>
              <w:t xml:space="preserve"> v </w:t>
            </w:r>
            <w:r>
              <w:rPr>
                <w:i/>
                <w:iCs/>
                <w:color w:val="000000" w:themeColor="text1"/>
              </w:rPr>
              <w:t>Evropě</w:t>
            </w:r>
            <w:r>
              <w:rPr>
                <w:color w:val="000000" w:themeColor="text1"/>
              </w:rPr>
              <w:t xml:space="preserve">), Springer, 2020 </w:t>
            </w:r>
          </w:p>
          <w:p w14:paraId="2226AC04" w14:textId="77777777" w:rsidR="00FA4D1E" w:rsidRPr="00CF573F" w:rsidRDefault="00FA4D1E" w:rsidP="00FA4D1E">
            <w:pPr>
              <w:pStyle w:val="Odstavecseseznamem"/>
              <w:numPr>
                <w:ilvl w:val="0"/>
                <w:numId w:val="3"/>
              </w:numPr>
              <w:rPr>
                <w:color w:val="000000" w:themeColor="text1"/>
              </w:rPr>
            </w:pPr>
            <w:r>
              <w:rPr>
                <w:color w:val="000000" w:themeColor="text1"/>
              </w:rPr>
              <w:t xml:space="preserve">Marcus Düwell, Jens Braarvig, Roger Brownsword, Dietmar Mieth: The Cambridge Handbook of Human Dignity: Interdisciplinary Perspectives </w:t>
            </w:r>
            <w:r w:rsidRPr="00CF573F">
              <w:rPr>
                <w:i/>
                <w:color w:val="000000" w:themeColor="text1"/>
              </w:rPr>
              <w:t>(Cambridgská příručka</w:t>
            </w:r>
            <w:r w:rsidR="00A54E6E">
              <w:rPr>
                <w:i/>
                <w:color w:val="000000" w:themeColor="text1"/>
              </w:rPr>
              <w:t xml:space="preserve"> </w:t>
            </w:r>
            <w:r w:rsidR="00A54E6E" w:rsidRPr="00CF573F">
              <w:rPr>
                <w:i/>
                <w:color w:val="000000" w:themeColor="text1"/>
              </w:rPr>
              <w:lastRenderedPageBreak/>
              <w:t>o</w:t>
            </w:r>
            <w:r w:rsidR="00A54E6E">
              <w:rPr>
                <w:i/>
                <w:color w:val="000000" w:themeColor="text1"/>
              </w:rPr>
              <w:t> </w:t>
            </w:r>
            <w:r w:rsidRPr="00CF573F">
              <w:rPr>
                <w:i/>
                <w:color w:val="000000" w:themeColor="text1"/>
              </w:rPr>
              <w:t>lidské důstojnosti: Interdisciplinární pohledy)</w:t>
            </w:r>
            <w:r>
              <w:rPr>
                <w:color w:val="000000" w:themeColor="text1"/>
              </w:rPr>
              <w:t>, Cambridge, 2014</w:t>
            </w:r>
          </w:p>
          <w:p w14:paraId="40A1D032" w14:textId="77777777" w:rsidR="005E5EF0" w:rsidRDefault="005E5EF0" w:rsidP="00FA4D1E">
            <w:pPr>
              <w:pStyle w:val="Odstavecseseznamem"/>
              <w:numPr>
                <w:ilvl w:val="0"/>
                <w:numId w:val="3"/>
              </w:numPr>
              <w:rPr>
                <w:iCs/>
                <w:color w:val="000000" w:themeColor="text1"/>
              </w:rPr>
            </w:pPr>
            <w:r w:rsidRPr="00CF573F">
              <w:rPr>
                <w:color w:val="000000" w:themeColor="text1"/>
              </w:rPr>
              <w:t xml:space="preserve">Veronika </w:t>
            </w:r>
            <w:r>
              <w:t>Fikfak</w:t>
            </w:r>
            <w:r w:rsidR="00A54E6E">
              <w:rPr>
                <w:rFonts w:ascii="Cambria Math" w:hAnsi="Cambria Math"/>
              </w:rPr>
              <w:t xml:space="preserve"> </w:t>
            </w:r>
            <w:r w:rsidR="00A54E6E">
              <w:t>a</w:t>
            </w:r>
            <w:r w:rsidR="00A54E6E">
              <w:rPr>
                <w:rFonts w:ascii="Cambria Math" w:hAnsi="Cambria Math"/>
              </w:rPr>
              <w:t> </w:t>
            </w:r>
            <w:r>
              <w:t>Lora Izvorova</w:t>
            </w:r>
            <w:r>
              <w:rPr>
                <w:rFonts w:ascii="Cambria Math" w:hAnsi="Cambria Math"/>
              </w:rPr>
              <w:t xml:space="preserve">: </w:t>
            </w:r>
            <w:r>
              <w:t>Language and Persuasion: Human Dignity at the European Court of Human Rights (</w:t>
            </w:r>
            <w:r>
              <w:rPr>
                <w:i/>
                <w:iCs/>
              </w:rPr>
              <w:t>Jazyk</w:t>
            </w:r>
            <w:r w:rsidR="00A54E6E">
              <w:rPr>
                <w:i/>
                <w:iCs/>
              </w:rPr>
              <w:t xml:space="preserve"> a </w:t>
            </w:r>
            <w:r>
              <w:rPr>
                <w:i/>
                <w:iCs/>
              </w:rPr>
              <w:t>přesvědčení: Lidská důstojnost před Evropským soudem pro lidská práva</w:t>
            </w:r>
            <w:r>
              <w:t>), Human Rights Law Review, 2022, 22, s. 1–24</w:t>
            </w:r>
          </w:p>
          <w:p w14:paraId="1ABCF797" w14:textId="77777777" w:rsidR="005E5EF0" w:rsidRDefault="005E5EF0" w:rsidP="005E5EF0">
            <w:pPr>
              <w:pStyle w:val="Odstavecseseznamem"/>
              <w:numPr>
                <w:ilvl w:val="0"/>
                <w:numId w:val="3"/>
              </w:numPr>
              <w:rPr>
                <w:iCs/>
                <w:color w:val="000000" w:themeColor="text1"/>
              </w:rPr>
            </w:pPr>
            <w:r>
              <w:rPr>
                <w:color w:val="000000" w:themeColor="text1"/>
              </w:rPr>
              <w:t>Pablo, Gilabert: Understanding Human Dignity in Human Rights (</w:t>
            </w:r>
            <w:r>
              <w:rPr>
                <w:i/>
                <w:iCs/>
                <w:color w:val="000000" w:themeColor="text1"/>
              </w:rPr>
              <w:t>Chápání lidské důstojnosti</w:t>
            </w:r>
            <w:r w:rsidR="00A54E6E">
              <w:rPr>
                <w:i/>
                <w:iCs/>
                <w:color w:val="000000" w:themeColor="text1"/>
              </w:rPr>
              <w:t xml:space="preserve"> v </w:t>
            </w:r>
            <w:r>
              <w:rPr>
                <w:i/>
                <w:iCs/>
                <w:color w:val="000000" w:themeColor="text1"/>
              </w:rPr>
              <w:t>rámci lidských práv</w:t>
            </w:r>
            <w:r>
              <w:rPr>
                <w:color w:val="000000" w:themeColor="text1"/>
              </w:rPr>
              <w:t>), Human Dignity and Human Rights, Oxford, 2018</w:t>
            </w:r>
          </w:p>
          <w:p w14:paraId="5E732522" w14:textId="77777777" w:rsidR="00FA4D1E" w:rsidRDefault="00FA4D1E" w:rsidP="00FA4D1E">
            <w:pPr>
              <w:pStyle w:val="Odstavecseseznamem"/>
              <w:numPr>
                <w:ilvl w:val="0"/>
                <w:numId w:val="3"/>
              </w:numPr>
              <w:rPr>
                <w:iCs/>
                <w:color w:val="000000" w:themeColor="text1"/>
              </w:rPr>
            </w:pPr>
            <w:r>
              <w:rPr>
                <w:color w:val="000000" w:themeColor="text1"/>
              </w:rPr>
              <w:t>Makau Mutua,</w:t>
            </w:r>
            <w:r w:rsidR="00A54E6E">
              <w:rPr>
                <w:color w:val="000000" w:themeColor="text1"/>
              </w:rPr>
              <w:t xml:space="preserve"> A </w:t>
            </w:r>
            <w:r>
              <w:rPr>
                <w:color w:val="000000" w:themeColor="text1"/>
              </w:rPr>
              <w:t>Political and Cultural Critique (</w:t>
            </w:r>
            <w:r>
              <w:rPr>
                <w:i/>
                <w:iCs/>
                <w:color w:val="000000" w:themeColor="text1"/>
              </w:rPr>
              <w:t>Politická</w:t>
            </w:r>
            <w:r w:rsidR="00A54E6E">
              <w:rPr>
                <w:i/>
                <w:iCs/>
                <w:color w:val="000000" w:themeColor="text1"/>
              </w:rPr>
              <w:t xml:space="preserve"> a </w:t>
            </w:r>
            <w:r>
              <w:rPr>
                <w:i/>
                <w:iCs/>
                <w:color w:val="000000" w:themeColor="text1"/>
              </w:rPr>
              <w:t>kulturní kritika</w:t>
            </w:r>
            <w:r>
              <w:rPr>
                <w:color w:val="000000" w:themeColor="text1"/>
              </w:rPr>
              <w:t>), Pennsylvania Studies in Human Rights, 2002</w:t>
            </w:r>
          </w:p>
          <w:p w14:paraId="02647BEC" w14:textId="77777777" w:rsidR="00D306E2" w:rsidRDefault="00D306E2" w:rsidP="00FA4D1E">
            <w:pPr>
              <w:pStyle w:val="Odstavecseseznamem"/>
              <w:numPr>
                <w:ilvl w:val="0"/>
                <w:numId w:val="3"/>
              </w:numPr>
              <w:rPr>
                <w:iCs/>
                <w:color w:val="000000" w:themeColor="text1"/>
              </w:rPr>
            </w:pPr>
            <w:r>
              <w:t>Jackie Jones: Human Dignity in the EU Charter of Fundamental Rights and its Interpretation Before the European Court of Justice (</w:t>
            </w:r>
            <w:r>
              <w:rPr>
                <w:i/>
                <w:iCs/>
              </w:rPr>
              <w:t>Lidská důstojnost</w:t>
            </w:r>
            <w:r w:rsidR="00A54E6E">
              <w:rPr>
                <w:i/>
                <w:iCs/>
              </w:rPr>
              <w:t xml:space="preserve"> v </w:t>
            </w:r>
            <w:r>
              <w:rPr>
                <w:i/>
                <w:iCs/>
              </w:rPr>
              <w:t>Listině základních práv EU</w:t>
            </w:r>
            <w:r w:rsidR="00A54E6E">
              <w:rPr>
                <w:i/>
                <w:iCs/>
              </w:rPr>
              <w:t xml:space="preserve"> a </w:t>
            </w:r>
            <w:r>
              <w:rPr>
                <w:i/>
                <w:iCs/>
              </w:rPr>
              <w:t>její výklad před Evropským soudem pro lidská práva</w:t>
            </w:r>
            <w:r>
              <w:t>), Liverpool Law Rev, 2012, 33, s. 281–300</w:t>
            </w:r>
          </w:p>
          <w:p w14:paraId="63F2B5CB" w14:textId="77777777" w:rsidR="00664DF4" w:rsidRDefault="00FA4D1E" w:rsidP="00FA4D1E">
            <w:pPr>
              <w:pStyle w:val="Odstavecseseznamem"/>
              <w:numPr>
                <w:ilvl w:val="0"/>
                <w:numId w:val="3"/>
              </w:numPr>
              <w:rPr>
                <w:iCs/>
                <w:color w:val="000000" w:themeColor="text1"/>
              </w:rPr>
            </w:pPr>
            <w:r>
              <w:rPr>
                <w:color w:val="000000" w:themeColor="text1"/>
              </w:rPr>
              <w:t>Christopher McCrudden, Human Dignity and Judicial Interpretation of Human Rights (</w:t>
            </w:r>
            <w:r>
              <w:rPr>
                <w:i/>
                <w:iCs/>
                <w:color w:val="000000" w:themeColor="text1"/>
              </w:rPr>
              <w:t>Lidská důstojnost</w:t>
            </w:r>
            <w:r w:rsidR="00A54E6E">
              <w:rPr>
                <w:i/>
                <w:iCs/>
                <w:color w:val="000000" w:themeColor="text1"/>
              </w:rPr>
              <w:t xml:space="preserve"> a </w:t>
            </w:r>
            <w:r>
              <w:rPr>
                <w:i/>
                <w:iCs/>
                <w:color w:val="000000" w:themeColor="text1"/>
              </w:rPr>
              <w:t>soudní výklad lidských práv</w:t>
            </w:r>
            <w:r>
              <w:rPr>
                <w:color w:val="000000" w:themeColor="text1"/>
              </w:rPr>
              <w:t>), European Journal of International Law, 19:4, 2008, s. 655–724</w:t>
            </w:r>
          </w:p>
          <w:p w14:paraId="71351B44" w14:textId="77777777" w:rsidR="005E5EF0" w:rsidRPr="005E5EF0" w:rsidRDefault="005E5EF0" w:rsidP="005E5EF0">
            <w:pPr>
              <w:pStyle w:val="Odstavecseseznamem"/>
              <w:numPr>
                <w:ilvl w:val="0"/>
                <w:numId w:val="3"/>
              </w:numPr>
              <w:rPr>
                <w:iCs/>
                <w:color w:val="000000" w:themeColor="text1"/>
              </w:rPr>
            </w:pPr>
            <w:r>
              <w:rPr>
                <w:color w:val="000000" w:themeColor="text1"/>
              </w:rPr>
              <w:t>Edward Sieh, Judy McGregor: Human Dignity – Establishing Worth and Seeking Solutions (</w:t>
            </w:r>
            <w:r>
              <w:rPr>
                <w:i/>
                <w:iCs/>
                <w:color w:val="000000" w:themeColor="text1"/>
              </w:rPr>
              <w:t>Lidská důstojnost – Zakotvení hodnoty</w:t>
            </w:r>
            <w:r w:rsidR="00A54E6E">
              <w:rPr>
                <w:i/>
                <w:iCs/>
                <w:color w:val="000000" w:themeColor="text1"/>
              </w:rPr>
              <w:t xml:space="preserve"> a </w:t>
            </w:r>
            <w:r>
              <w:rPr>
                <w:i/>
                <w:iCs/>
                <w:color w:val="000000" w:themeColor="text1"/>
              </w:rPr>
              <w:t>hledání řešení</w:t>
            </w:r>
            <w:r>
              <w:rPr>
                <w:color w:val="000000" w:themeColor="text1"/>
              </w:rPr>
              <w:t xml:space="preserve">), Springer, 2017 </w:t>
            </w:r>
          </w:p>
          <w:p w14:paraId="1D63ED7A" w14:textId="77777777" w:rsidR="00664DF4" w:rsidRPr="00470C01" w:rsidRDefault="00664DF4" w:rsidP="005B771F">
            <w:pPr>
              <w:rPr>
                <w:i/>
                <w:iCs/>
                <w:color w:val="000000" w:themeColor="text1"/>
                <w:lang w:val="en-US"/>
              </w:rPr>
            </w:pPr>
          </w:p>
        </w:tc>
      </w:tr>
    </w:tbl>
    <w:p w14:paraId="3BB7E0CC" w14:textId="77777777" w:rsidR="00B6626F" w:rsidRDefault="00B6626F"/>
    <w:sectPr w:rsidR="00B6626F" w:rsidSect="00C870CF">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07B294" w14:textId="77777777" w:rsidR="003E0F63" w:rsidRDefault="003E0F63" w:rsidP="000067E8">
      <w:r>
        <w:separator/>
      </w:r>
    </w:p>
  </w:endnote>
  <w:endnote w:type="continuationSeparator" w:id="0">
    <w:p w14:paraId="4842D12A" w14:textId="77777777" w:rsidR="003E0F63" w:rsidRDefault="003E0F63" w:rsidP="000067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685AD0" w14:textId="77777777" w:rsidR="003E0F63" w:rsidRDefault="003E0F63" w:rsidP="000067E8">
      <w:r>
        <w:separator/>
      </w:r>
    </w:p>
  </w:footnote>
  <w:footnote w:type="continuationSeparator" w:id="0">
    <w:p w14:paraId="0AC5134D" w14:textId="77777777" w:rsidR="003E0F63" w:rsidRDefault="003E0F63" w:rsidP="000067E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2E8303C"/>
    <w:multiLevelType w:val="hybridMultilevel"/>
    <w:tmpl w:val="54DAB5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 w15:restartNumberingAfterBreak="0">
    <w:nsid w:val="4BA41F38"/>
    <w:multiLevelType w:val="hybridMultilevel"/>
    <w:tmpl w:val="0F6CFDA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15:restartNumberingAfterBreak="0">
    <w:nsid w:val="56DF0256"/>
    <w:multiLevelType w:val="hybridMultilevel"/>
    <w:tmpl w:val="44BC6A0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143541677">
    <w:abstractNumId w:val="2"/>
  </w:num>
  <w:num w:numId="2" w16cid:durableId="1060521289">
    <w:abstractNumId w:val="0"/>
  </w:num>
  <w:num w:numId="3" w16cid:durableId="13029134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6626F"/>
    <w:rsid w:val="00002A34"/>
    <w:rsid w:val="000067E8"/>
    <w:rsid w:val="00024859"/>
    <w:rsid w:val="00130F17"/>
    <w:rsid w:val="0013195B"/>
    <w:rsid w:val="00145A37"/>
    <w:rsid w:val="00164E28"/>
    <w:rsid w:val="001A3451"/>
    <w:rsid w:val="001E07AB"/>
    <w:rsid w:val="00245C92"/>
    <w:rsid w:val="002D759E"/>
    <w:rsid w:val="003209AA"/>
    <w:rsid w:val="003A5F4A"/>
    <w:rsid w:val="003E0F63"/>
    <w:rsid w:val="004716E8"/>
    <w:rsid w:val="00473582"/>
    <w:rsid w:val="004A2F1F"/>
    <w:rsid w:val="005B771F"/>
    <w:rsid w:val="005E5EF0"/>
    <w:rsid w:val="005E7438"/>
    <w:rsid w:val="0062393D"/>
    <w:rsid w:val="00664DF4"/>
    <w:rsid w:val="006C1402"/>
    <w:rsid w:val="0072334E"/>
    <w:rsid w:val="00725F52"/>
    <w:rsid w:val="007717DA"/>
    <w:rsid w:val="007E5D61"/>
    <w:rsid w:val="00885888"/>
    <w:rsid w:val="008E3D3E"/>
    <w:rsid w:val="008E6F03"/>
    <w:rsid w:val="0091370A"/>
    <w:rsid w:val="0094654F"/>
    <w:rsid w:val="009866D7"/>
    <w:rsid w:val="009E43DA"/>
    <w:rsid w:val="00A45F91"/>
    <w:rsid w:val="00A54E6E"/>
    <w:rsid w:val="00AA733C"/>
    <w:rsid w:val="00AB4EF1"/>
    <w:rsid w:val="00AD2172"/>
    <w:rsid w:val="00B6626F"/>
    <w:rsid w:val="00B86AAA"/>
    <w:rsid w:val="00BA2124"/>
    <w:rsid w:val="00BC3FCB"/>
    <w:rsid w:val="00C870CF"/>
    <w:rsid w:val="00CF3DF5"/>
    <w:rsid w:val="00CF573F"/>
    <w:rsid w:val="00D306E2"/>
    <w:rsid w:val="00D4054E"/>
    <w:rsid w:val="00D7497B"/>
    <w:rsid w:val="00DF3DE1"/>
    <w:rsid w:val="00E1047A"/>
    <w:rsid w:val="00E66684"/>
    <w:rsid w:val="00E73F62"/>
    <w:rsid w:val="00ED5B61"/>
    <w:rsid w:val="00F2715F"/>
    <w:rsid w:val="00FA4D1E"/>
    <w:rsid w:val="00FC7F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02BE963C"/>
  <w15:docId w15:val="{E1945EA6-388A-4C0B-8689-674012556D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4DF4"/>
    <w:pPr>
      <w:spacing w:after="0" w:line="240" w:lineRule="auto"/>
    </w:pPr>
    <w:rPr>
      <w:kern w:val="2"/>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unhideWhenUsed/>
    <w:rsid w:val="00664DF4"/>
    <w:pPr>
      <w:spacing w:before="100" w:beforeAutospacing="1" w:after="100" w:afterAutospacing="1"/>
    </w:pPr>
    <w:rPr>
      <w:rFonts w:ascii="Times New Roman" w:eastAsia="Times New Roman" w:hAnsi="Times New Roman" w:cs="Times New Roman"/>
      <w:kern w:val="0"/>
      <w:lang w:eastAsia="es-ES_tradnl"/>
    </w:rPr>
  </w:style>
  <w:style w:type="table" w:styleId="Mkatabulky">
    <w:name w:val="Table Grid"/>
    <w:basedOn w:val="Normlntabulka"/>
    <w:uiPriority w:val="39"/>
    <w:rsid w:val="00664DF4"/>
    <w:pPr>
      <w:spacing w:after="0" w:line="240" w:lineRule="auto"/>
    </w:pPr>
    <w:rPr>
      <w:kern w:val="2"/>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664DF4"/>
    <w:pPr>
      <w:ind w:left="720"/>
      <w:contextualSpacing/>
    </w:pPr>
  </w:style>
  <w:style w:type="character" w:styleId="Zdraznn">
    <w:name w:val="Emphasis"/>
    <w:basedOn w:val="Standardnpsmoodstavce"/>
    <w:uiPriority w:val="20"/>
    <w:qFormat/>
    <w:rsid w:val="00664DF4"/>
    <w:rPr>
      <w:i/>
      <w:iCs/>
    </w:rPr>
  </w:style>
  <w:style w:type="paragraph" w:styleId="Zhlav">
    <w:name w:val="header"/>
    <w:basedOn w:val="Normln"/>
    <w:link w:val="ZhlavChar"/>
    <w:uiPriority w:val="99"/>
    <w:unhideWhenUsed/>
    <w:rsid w:val="000067E8"/>
    <w:pPr>
      <w:tabs>
        <w:tab w:val="center" w:pos="4513"/>
        <w:tab w:val="right" w:pos="9026"/>
      </w:tabs>
    </w:pPr>
  </w:style>
  <w:style w:type="character" w:customStyle="1" w:styleId="ZhlavChar">
    <w:name w:val="Záhlaví Char"/>
    <w:basedOn w:val="Standardnpsmoodstavce"/>
    <w:link w:val="Zhlav"/>
    <w:uiPriority w:val="99"/>
    <w:rsid w:val="000067E8"/>
    <w:rPr>
      <w:kern w:val="2"/>
      <w:sz w:val="24"/>
      <w:szCs w:val="24"/>
      <w:lang w:val="cs-CZ"/>
    </w:rPr>
  </w:style>
  <w:style w:type="paragraph" w:styleId="Zpat">
    <w:name w:val="footer"/>
    <w:basedOn w:val="Normln"/>
    <w:link w:val="ZpatChar"/>
    <w:uiPriority w:val="99"/>
    <w:unhideWhenUsed/>
    <w:rsid w:val="000067E8"/>
    <w:pPr>
      <w:tabs>
        <w:tab w:val="center" w:pos="4513"/>
        <w:tab w:val="right" w:pos="9026"/>
      </w:tabs>
    </w:pPr>
  </w:style>
  <w:style w:type="character" w:customStyle="1" w:styleId="ZpatChar">
    <w:name w:val="Zápatí Char"/>
    <w:basedOn w:val="Standardnpsmoodstavce"/>
    <w:link w:val="Zpat"/>
    <w:uiPriority w:val="99"/>
    <w:rsid w:val="000067E8"/>
    <w:rPr>
      <w:kern w:val="2"/>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607698">
      <w:bodyDiv w:val="1"/>
      <w:marLeft w:val="0"/>
      <w:marRight w:val="0"/>
      <w:marTop w:val="0"/>
      <w:marBottom w:val="0"/>
      <w:divBdr>
        <w:top w:val="none" w:sz="0" w:space="0" w:color="auto"/>
        <w:left w:val="none" w:sz="0" w:space="0" w:color="auto"/>
        <w:bottom w:val="none" w:sz="0" w:space="0" w:color="auto"/>
        <w:right w:val="none" w:sz="0" w:space="0" w:color="auto"/>
      </w:divBdr>
    </w:div>
    <w:div w:id="193659806">
      <w:bodyDiv w:val="1"/>
      <w:marLeft w:val="0"/>
      <w:marRight w:val="0"/>
      <w:marTop w:val="0"/>
      <w:marBottom w:val="0"/>
      <w:divBdr>
        <w:top w:val="none" w:sz="0" w:space="0" w:color="auto"/>
        <w:left w:val="none" w:sz="0" w:space="0" w:color="auto"/>
        <w:bottom w:val="none" w:sz="0" w:space="0" w:color="auto"/>
        <w:right w:val="none" w:sz="0" w:space="0" w:color="auto"/>
      </w:divBdr>
    </w:div>
    <w:div w:id="262416963">
      <w:bodyDiv w:val="1"/>
      <w:marLeft w:val="0"/>
      <w:marRight w:val="0"/>
      <w:marTop w:val="0"/>
      <w:marBottom w:val="0"/>
      <w:divBdr>
        <w:top w:val="none" w:sz="0" w:space="0" w:color="auto"/>
        <w:left w:val="none" w:sz="0" w:space="0" w:color="auto"/>
        <w:bottom w:val="none" w:sz="0" w:space="0" w:color="auto"/>
        <w:right w:val="none" w:sz="0" w:space="0" w:color="auto"/>
      </w:divBdr>
    </w:div>
    <w:div w:id="313145535">
      <w:bodyDiv w:val="1"/>
      <w:marLeft w:val="0"/>
      <w:marRight w:val="0"/>
      <w:marTop w:val="0"/>
      <w:marBottom w:val="0"/>
      <w:divBdr>
        <w:top w:val="none" w:sz="0" w:space="0" w:color="auto"/>
        <w:left w:val="none" w:sz="0" w:space="0" w:color="auto"/>
        <w:bottom w:val="none" w:sz="0" w:space="0" w:color="auto"/>
        <w:right w:val="none" w:sz="0" w:space="0" w:color="auto"/>
      </w:divBdr>
      <w:divsChild>
        <w:div w:id="657154836">
          <w:marLeft w:val="0"/>
          <w:marRight w:val="0"/>
          <w:marTop w:val="0"/>
          <w:marBottom w:val="0"/>
          <w:divBdr>
            <w:top w:val="none" w:sz="0" w:space="0" w:color="auto"/>
            <w:left w:val="none" w:sz="0" w:space="0" w:color="auto"/>
            <w:bottom w:val="none" w:sz="0" w:space="0" w:color="auto"/>
            <w:right w:val="none" w:sz="0" w:space="0" w:color="auto"/>
          </w:divBdr>
          <w:divsChild>
            <w:div w:id="1878271630">
              <w:marLeft w:val="0"/>
              <w:marRight w:val="0"/>
              <w:marTop w:val="0"/>
              <w:marBottom w:val="0"/>
              <w:divBdr>
                <w:top w:val="none" w:sz="0" w:space="0" w:color="auto"/>
                <w:left w:val="none" w:sz="0" w:space="0" w:color="auto"/>
                <w:bottom w:val="none" w:sz="0" w:space="0" w:color="auto"/>
                <w:right w:val="none" w:sz="0" w:space="0" w:color="auto"/>
              </w:divBdr>
            </w:div>
          </w:divsChild>
        </w:div>
        <w:div w:id="810638493">
          <w:marLeft w:val="0"/>
          <w:marRight w:val="0"/>
          <w:marTop w:val="0"/>
          <w:marBottom w:val="0"/>
          <w:divBdr>
            <w:top w:val="none" w:sz="0" w:space="0" w:color="auto"/>
            <w:left w:val="none" w:sz="0" w:space="0" w:color="auto"/>
            <w:bottom w:val="none" w:sz="0" w:space="0" w:color="auto"/>
            <w:right w:val="none" w:sz="0" w:space="0" w:color="auto"/>
          </w:divBdr>
          <w:divsChild>
            <w:div w:id="5946362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639324">
      <w:bodyDiv w:val="1"/>
      <w:marLeft w:val="0"/>
      <w:marRight w:val="0"/>
      <w:marTop w:val="0"/>
      <w:marBottom w:val="0"/>
      <w:divBdr>
        <w:top w:val="none" w:sz="0" w:space="0" w:color="auto"/>
        <w:left w:val="none" w:sz="0" w:space="0" w:color="auto"/>
        <w:bottom w:val="none" w:sz="0" w:space="0" w:color="auto"/>
        <w:right w:val="none" w:sz="0" w:space="0" w:color="auto"/>
      </w:divBdr>
      <w:divsChild>
        <w:div w:id="1636639196">
          <w:marLeft w:val="0"/>
          <w:marRight w:val="0"/>
          <w:marTop w:val="0"/>
          <w:marBottom w:val="0"/>
          <w:divBdr>
            <w:top w:val="none" w:sz="0" w:space="0" w:color="auto"/>
            <w:left w:val="none" w:sz="0" w:space="0" w:color="auto"/>
            <w:bottom w:val="none" w:sz="0" w:space="0" w:color="auto"/>
            <w:right w:val="none" w:sz="0" w:space="0" w:color="auto"/>
          </w:divBdr>
          <w:divsChild>
            <w:div w:id="126558863">
              <w:marLeft w:val="0"/>
              <w:marRight w:val="0"/>
              <w:marTop w:val="0"/>
              <w:marBottom w:val="0"/>
              <w:divBdr>
                <w:top w:val="none" w:sz="0" w:space="0" w:color="auto"/>
                <w:left w:val="none" w:sz="0" w:space="0" w:color="auto"/>
                <w:bottom w:val="none" w:sz="0" w:space="0" w:color="auto"/>
                <w:right w:val="none" w:sz="0" w:space="0" w:color="auto"/>
              </w:divBdr>
            </w:div>
          </w:divsChild>
        </w:div>
        <w:div w:id="693962139">
          <w:marLeft w:val="0"/>
          <w:marRight w:val="0"/>
          <w:marTop w:val="0"/>
          <w:marBottom w:val="0"/>
          <w:divBdr>
            <w:top w:val="none" w:sz="0" w:space="0" w:color="auto"/>
            <w:left w:val="none" w:sz="0" w:space="0" w:color="auto"/>
            <w:bottom w:val="none" w:sz="0" w:space="0" w:color="auto"/>
            <w:right w:val="none" w:sz="0" w:space="0" w:color="auto"/>
          </w:divBdr>
          <w:divsChild>
            <w:div w:id="2097558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2843897">
      <w:bodyDiv w:val="1"/>
      <w:marLeft w:val="0"/>
      <w:marRight w:val="0"/>
      <w:marTop w:val="0"/>
      <w:marBottom w:val="0"/>
      <w:divBdr>
        <w:top w:val="none" w:sz="0" w:space="0" w:color="auto"/>
        <w:left w:val="none" w:sz="0" w:space="0" w:color="auto"/>
        <w:bottom w:val="none" w:sz="0" w:space="0" w:color="auto"/>
        <w:right w:val="none" w:sz="0" w:space="0" w:color="auto"/>
      </w:divBdr>
    </w:div>
    <w:div w:id="527304671">
      <w:bodyDiv w:val="1"/>
      <w:marLeft w:val="0"/>
      <w:marRight w:val="0"/>
      <w:marTop w:val="0"/>
      <w:marBottom w:val="0"/>
      <w:divBdr>
        <w:top w:val="none" w:sz="0" w:space="0" w:color="auto"/>
        <w:left w:val="none" w:sz="0" w:space="0" w:color="auto"/>
        <w:bottom w:val="none" w:sz="0" w:space="0" w:color="auto"/>
        <w:right w:val="none" w:sz="0" w:space="0" w:color="auto"/>
      </w:divBdr>
    </w:div>
    <w:div w:id="548080057">
      <w:bodyDiv w:val="1"/>
      <w:marLeft w:val="0"/>
      <w:marRight w:val="0"/>
      <w:marTop w:val="0"/>
      <w:marBottom w:val="0"/>
      <w:divBdr>
        <w:top w:val="none" w:sz="0" w:space="0" w:color="auto"/>
        <w:left w:val="none" w:sz="0" w:space="0" w:color="auto"/>
        <w:bottom w:val="none" w:sz="0" w:space="0" w:color="auto"/>
        <w:right w:val="none" w:sz="0" w:space="0" w:color="auto"/>
      </w:divBdr>
      <w:divsChild>
        <w:div w:id="1022125421">
          <w:marLeft w:val="0"/>
          <w:marRight w:val="0"/>
          <w:marTop w:val="0"/>
          <w:marBottom w:val="0"/>
          <w:divBdr>
            <w:top w:val="none" w:sz="0" w:space="0" w:color="auto"/>
            <w:left w:val="none" w:sz="0" w:space="0" w:color="auto"/>
            <w:bottom w:val="none" w:sz="0" w:space="0" w:color="auto"/>
            <w:right w:val="none" w:sz="0" w:space="0" w:color="auto"/>
          </w:divBdr>
          <w:divsChild>
            <w:div w:id="1435057158">
              <w:marLeft w:val="0"/>
              <w:marRight w:val="0"/>
              <w:marTop w:val="0"/>
              <w:marBottom w:val="0"/>
              <w:divBdr>
                <w:top w:val="none" w:sz="0" w:space="0" w:color="auto"/>
                <w:left w:val="none" w:sz="0" w:space="0" w:color="auto"/>
                <w:bottom w:val="none" w:sz="0" w:space="0" w:color="auto"/>
                <w:right w:val="none" w:sz="0" w:space="0" w:color="auto"/>
              </w:divBdr>
            </w:div>
          </w:divsChild>
        </w:div>
        <w:div w:id="1543664509">
          <w:marLeft w:val="0"/>
          <w:marRight w:val="0"/>
          <w:marTop w:val="0"/>
          <w:marBottom w:val="0"/>
          <w:divBdr>
            <w:top w:val="none" w:sz="0" w:space="0" w:color="auto"/>
            <w:left w:val="none" w:sz="0" w:space="0" w:color="auto"/>
            <w:bottom w:val="none" w:sz="0" w:space="0" w:color="auto"/>
            <w:right w:val="none" w:sz="0" w:space="0" w:color="auto"/>
          </w:divBdr>
          <w:divsChild>
            <w:div w:id="83781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0587842">
      <w:bodyDiv w:val="1"/>
      <w:marLeft w:val="0"/>
      <w:marRight w:val="0"/>
      <w:marTop w:val="0"/>
      <w:marBottom w:val="0"/>
      <w:divBdr>
        <w:top w:val="none" w:sz="0" w:space="0" w:color="auto"/>
        <w:left w:val="none" w:sz="0" w:space="0" w:color="auto"/>
        <w:bottom w:val="none" w:sz="0" w:space="0" w:color="auto"/>
        <w:right w:val="none" w:sz="0" w:space="0" w:color="auto"/>
      </w:divBdr>
      <w:divsChild>
        <w:div w:id="1439838100">
          <w:marLeft w:val="0"/>
          <w:marRight w:val="0"/>
          <w:marTop w:val="0"/>
          <w:marBottom w:val="0"/>
          <w:divBdr>
            <w:top w:val="none" w:sz="0" w:space="0" w:color="auto"/>
            <w:left w:val="none" w:sz="0" w:space="0" w:color="auto"/>
            <w:bottom w:val="none" w:sz="0" w:space="0" w:color="auto"/>
            <w:right w:val="none" w:sz="0" w:space="0" w:color="auto"/>
          </w:divBdr>
          <w:divsChild>
            <w:div w:id="1408914286">
              <w:marLeft w:val="0"/>
              <w:marRight w:val="0"/>
              <w:marTop w:val="0"/>
              <w:marBottom w:val="0"/>
              <w:divBdr>
                <w:top w:val="none" w:sz="0" w:space="0" w:color="auto"/>
                <w:left w:val="none" w:sz="0" w:space="0" w:color="auto"/>
                <w:bottom w:val="none" w:sz="0" w:space="0" w:color="auto"/>
                <w:right w:val="none" w:sz="0" w:space="0" w:color="auto"/>
              </w:divBdr>
            </w:div>
          </w:divsChild>
        </w:div>
        <w:div w:id="1225794927">
          <w:marLeft w:val="0"/>
          <w:marRight w:val="0"/>
          <w:marTop w:val="0"/>
          <w:marBottom w:val="0"/>
          <w:divBdr>
            <w:top w:val="none" w:sz="0" w:space="0" w:color="auto"/>
            <w:left w:val="none" w:sz="0" w:space="0" w:color="auto"/>
            <w:bottom w:val="none" w:sz="0" w:space="0" w:color="auto"/>
            <w:right w:val="none" w:sz="0" w:space="0" w:color="auto"/>
          </w:divBdr>
          <w:divsChild>
            <w:div w:id="12226697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151279">
      <w:bodyDiv w:val="1"/>
      <w:marLeft w:val="0"/>
      <w:marRight w:val="0"/>
      <w:marTop w:val="0"/>
      <w:marBottom w:val="0"/>
      <w:divBdr>
        <w:top w:val="none" w:sz="0" w:space="0" w:color="auto"/>
        <w:left w:val="none" w:sz="0" w:space="0" w:color="auto"/>
        <w:bottom w:val="none" w:sz="0" w:space="0" w:color="auto"/>
        <w:right w:val="none" w:sz="0" w:space="0" w:color="auto"/>
      </w:divBdr>
    </w:div>
    <w:div w:id="847985007">
      <w:bodyDiv w:val="1"/>
      <w:marLeft w:val="0"/>
      <w:marRight w:val="0"/>
      <w:marTop w:val="0"/>
      <w:marBottom w:val="0"/>
      <w:divBdr>
        <w:top w:val="none" w:sz="0" w:space="0" w:color="auto"/>
        <w:left w:val="none" w:sz="0" w:space="0" w:color="auto"/>
        <w:bottom w:val="none" w:sz="0" w:space="0" w:color="auto"/>
        <w:right w:val="none" w:sz="0" w:space="0" w:color="auto"/>
      </w:divBdr>
      <w:divsChild>
        <w:div w:id="1760520180">
          <w:marLeft w:val="0"/>
          <w:marRight w:val="0"/>
          <w:marTop w:val="0"/>
          <w:marBottom w:val="0"/>
          <w:divBdr>
            <w:top w:val="none" w:sz="0" w:space="0" w:color="auto"/>
            <w:left w:val="none" w:sz="0" w:space="0" w:color="auto"/>
            <w:bottom w:val="none" w:sz="0" w:space="0" w:color="auto"/>
            <w:right w:val="none" w:sz="0" w:space="0" w:color="auto"/>
          </w:divBdr>
          <w:divsChild>
            <w:div w:id="1481997734">
              <w:marLeft w:val="0"/>
              <w:marRight w:val="0"/>
              <w:marTop w:val="0"/>
              <w:marBottom w:val="0"/>
              <w:divBdr>
                <w:top w:val="none" w:sz="0" w:space="0" w:color="auto"/>
                <w:left w:val="none" w:sz="0" w:space="0" w:color="auto"/>
                <w:bottom w:val="none" w:sz="0" w:space="0" w:color="auto"/>
                <w:right w:val="none" w:sz="0" w:space="0" w:color="auto"/>
              </w:divBdr>
            </w:div>
          </w:divsChild>
        </w:div>
        <w:div w:id="1610121109">
          <w:marLeft w:val="0"/>
          <w:marRight w:val="0"/>
          <w:marTop w:val="0"/>
          <w:marBottom w:val="0"/>
          <w:divBdr>
            <w:top w:val="none" w:sz="0" w:space="0" w:color="auto"/>
            <w:left w:val="none" w:sz="0" w:space="0" w:color="auto"/>
            <w:bottom w:val="none" w:sz="0" w:space="0" w:color="auto"/>
            <w:right w:val="none" w:sz="0" w:space="0" w:color="auto"/>
          </w:divBdr>
          <w:divsChild>
            <w:div w:id="399258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6990937">
      <w:bodyDiv w:val="1"/>
      <w:marLeft w:val="0"/>
      <w:marRight w:val="0"/>
      <w:marTop w:val="0"/>
      <w:marBottom w:val="0"/>
      <w:divBdr>
        <w:top w:val="none" w:sz="0" w:space="0" w:color="auto"/>
        <w:left w:val="none" w:sz="0" w:space="0" w:color="auto"/>
        <w:bottom w:val="none" w:sz="0" w:space="0" w:color="auto"/>
        <w:right w:val="none" w:sz="0" w:space="0" w:color="auto"/>
      </w:divBdr>
      <w:divsChild>
        <w:div w:id="1359426396">
          <w:marLeft w:val="0"/>
          <w:marRight w:val="0"/>
          <w:marTop w:val="0"/>
          <w:marBottom w:val="0"/>
          <w:divBdr>
            <w:top w:val="none" w:sz="0" w:space="0" w:color="auto"/>
            <w:left w:val="none" w:sz="0" w:space="0" w:color="auto"/>
            <w:bottom w:val="none" w:sz="0" w:space="0" w:color="auto"/>
            <w:right w:val="none" w:sz="0" w:space="0" w:color="auto"/>
          </w:divBdr>
          <w:divsChild>
            <w:div w:id="33622215">
              <w:marLeft w:val="0"/>
              <w:marRight w:val="0"/>
              <w:marTop w:val="0"/>
              <w:marBottom w:val="0"/>
              <w:divBdr>
                <w:top w:val="none" w:sz="0" w:space="0" w:color="auto"/>
                <w:left w:val="none" w:sz="0" w:space="0" w:color="auto"/>
                <w:bottom w:val="none" w:sz="0" w:space="0" w:color="auto"/>
                <w:right w:val="none" w:sz="0" w:space="0" w:color="auto"/>
              </w:divBdr>
            </w:div>
          </w:divsChild>
        </w:div>
        <w:div w:id="1475563764">
          <w:marLeft w:val="0"/>
          <w:marRight w:val="0"/>
          <w:marTop w:val="0"/>
          <w:marBottom w:val="0"/>
          <w:divBdr>
            <w:top w:val="none" w:sz="0" w:space="0" w:color="auto"/>
            <w:left w:val="none" w:sz="0" w:space="0" w:color="auto"/>
            <w:bottom w:val="none" w:sz="0" w:space="0" w:color="auto"/>
            <w:right w:val="none" w:sz="0" w:space="0" w:color="auto"/>
          </w:divBdr>
          <w:divsChild>
            <w:div w:id="1991790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0477536">
      <w:bodyDiv w:val="1"/>
      <w:marLeft w:val="0"/>
      <w:marRight w:val="0"/>
      <w:marTop w:val="0"/>
      <w:marBottom w:val="0"/>
      <w:divBdr>
        <w:top w:val="none" w:sz="0" w:space="0" w:color="auto"/>
        <w:left w:val="none" w:sz="0" w:space="0" w:color="auto"/>
        <w:bottom w:val="none" w:sz="0" w:space="0" w:color="auto"/>
        <w:right w:val="none" w:sz="0" w:space="0" w:color="auto"/>
      </w:divBdr>
      <w:divsChild>
        <w:div w:id="1237518729">
          <w:marLeft w:val="0"/>
          <w:marRight w:val="0"/>
          <w:marTop w:val="0"/>
          <w:marBottom w:val="0"/>
          <w:divBdr>
            <w:top w:val="none" w:sz="0" w:space="0" w:color="auto"/>
            <w:left w:val="none" w:sz="0" w:space="0" w:color="auto"/>
            <w:bottom w:val="none" w:sz="0" w:space="0" w:color="auto"/>
            <w:right w:val="none" w:sz="0" w:space="0" w:color="auto"/>
          </w:divBdr>
          <w:divsChild>
            <w:div w:id="2018532627">
              <w:marLeft w:val="0"/>
              <w:marRight w:val="0"/>
              <w:marTop w:val="0"/>
              <w:marBottom w:val="0"/>
              <w:divBdr>
                <w:top w:val="none" w:sz="0" w:space="0" w:color="auto"/>
                <w:left w:val="none" w:sz="0" w:space="0" w:color="auto"/>
                <w:bottom w:val="none" w:sz="0" w:space="0" w:color="auto"/>
                <w:right w:val="none" w:sz="0" w:space="0" w:color="auto"/>
              </w:divBdr>
            </w:div>
          </w:divsChild>
        </w:div>
        <w:div w:id="868756931">
          <w:marLeft w:val="0"/>
          <w:marRight w:val="0"/>
          <w:marTop w:val="0"/>
          <w:marBottom w:val="0"/>
          <w:divBdr>
            <w:top w:val="none" w:sz="0" w:space="0" w:color="auto"/>
            <w:left w:val="none" w:sz="0" w:space="0" w:color="auto"/>
            <w:bottom w:val="none" w:sz="0" w:space="0" w:color="auto"/>
            <w:right w:val="none" w:sz="0" w:space="0" w:color="auto"/>
          </w:divBdr>
          <w:divsChild>
            <w:div w:id="1507355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268832">
      <w:bodyDiv w:val="1"/>
      <w:marLeft w:val="0"/>
      <w:marRight w:val="0"/>
      <w:marTop w:val="0"/>
      <w:marBottom w:val="0"/>
      <w:divBdr>
        <w:top w:val="none" w:sz="0" w:space="0" w:color="auto"/>
        <w:left w:val="none" w:sz="0" w:space="0" w:color="auto"/>
        <w:bottom w:val="none" w:sz="0" w:space="0" w:color="auto"/>
        <w:right w:val="none" w:sz="0" w:space="0" w:color="auto"/>
      </w:divBdr>
    </w:div>
    <w:div w:id="933709076">
      <w:bodyDiv w:val="1"/>
      <w:marLeft w:val="0"/>
      <w:marRight w:val="0"/>
      <w:marTop w:val="0"/>
      <w:marBottom w:val="0"/>
      <w:divBdr>
        <w:top w:val="none" w:sz="0" w:space="0" w:color="auto"/>
        <w:left w:val="none" w:sz="0" w:space="0" w:color="auto"/>
        <w:bottom w:val="none" w:sz="0" w:space="0" w:color="auto"/>
        <w:right w:val="none" w:sz="0" w:space="0" w:color="auto"/>
      </w:divBdr>
      <w:divsChild>
        <w:div w:id="1477606639">
          <w:marLeft w:val="0"/>
          <w:marRight w:val="0"/>
          <w:marTop w:val="0"/>
          <w:marBottom w:val="0"/>
          <w:divBdr>
            <w:top w:val="none" w:sz="0" w:space="0" w:color="auto"/>
            <w:left w:val="none" w:sz="0" w:space="0" w:color="auto"/>
            <w:bottom w:val="none" w:sz="0" w:space="0" w:color="auto"/>
            <w:right w:val="none" w:sz="0" w:space="0" w:color="auto"/>
          </w:divBdr>
          <w:divsChild>
            <w:div w:id="1319725823">
              <w:marLeft w:val="0"/>
              <w:marRight w:val="0"/>
              <w:marTop w:val="0"/>
              <w:marBottom w:val="0"/>
              <w:divBdr>
                <w:top w:val="none" w:sz="0" w:space="0" w:color="auto"/>
                <w:left w:val="none" w:sz="0" w:space="0" w:color="auto"/>
                <w:bottom w:val="none" w:sz="0" w:space="0" w:color="auto"/>
                <w:right w:val="none" w:sz="0" w:space="0" w:color="auto"/>
              </w:divBdr>
            </w:div>
          </w:divsChild>
        </w:div>
        <w:div w:id="1724325878">
          <w:marLeft w:val="0"/>
          <w:marRight w:val="0"/>
          <w:marTop w:val="0"/>
          <w:marBottom w:val="0"/>
          <w:divBdr>
            <w:top w:val="none" w:sz="0" w:space="0" w:color="auto"/>
            <w:left w:val="none" w:sz="0" w:space="0" w:color="auto"/>
            <w:bottom w:val="none" w:sz="0" w:space="0" w:color="auto"/>
            <w:right w:val="none" w:sz="0" w:space="0" w:color="auto"/>
          </w:divBdr>
          <w:divsChild>
            <w:div w:id="221790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350492">
      <w:bodyDiv w:val="1"/>
      <w:marLeft w:val="0"/>
      <w:marRight w:val="0"/>
      <w:marTop w:val="0"/>
      <w:marBottom w:val="0"/>
      <w:divBdr>
        <w:top w:val="none" w:sz="0" w:space="0" w:color="auto"/>
        <w:left w:val="none" w:sz="0" w:space="0" w:color="auto"/>
        <w:bottom w:val="none" w:sz="0" w:space="0" w:color="auto"/>
        <w:right w:val="none" w:sz="0" w:space="0" w:color="auto"/>
      </w:divBdr>
    </w:div>
    <w:div w:id="1022362089">
      <w:bodyDiv w:val="1"/>
      <w:marLeft w:val="0"/>
      <w:marRight w:val="0"/>
      <w:marTop w:val="0"/>
      <w:marBottom w:val="0"/>
      <w:divBdr>
        <w:top w:val="none" w:sz="0" w:space="0" w:color="auto"/>
        <w:left w:val="none" w:sz="0" w:space="0" w:color="auto"/>
        <w:bottom w:val="none" w:sz="0" w:space="0" w:color="auto"/>
        <w:right w:val="none" w:sz="0" w:space="0" w:color="auto"/>
      </w:divBdr>
    </w:div>
    <w:div w:id="1121151516">
      <w:bodyDiv w:val="1"/>
      <w:marLeft w:val="0"/>
      <w:marRight w:val="0"/>
      <w:marTop w:val="0"/>
      <w:marBottom w:val="0"/>
      <w:divBdr>
        <w:top w:val="none" w:sz="0" w:space="0" w:color="auto"/>
        <w:left w:val="none" w:sz="0" w:space="0" w:color="auto"/>
        <w:bottom w:val="none" w:sz="0" w:space="0" w:color="auto"/>
        <w:right w:val="none" w:sz="0" w:space="0" w:color="auto"/>
      </w:divBdr>
    </w:div>
    <w:div w:id="1143809511">
      <w:bodyDiv w:val="1"/>
      <w:marLeft w:val="0"/>
      <w:marRight w:val="0"/>
      <w:marTop w:val="0"/>
      <w:marBottom w:val="0"/>
      <w:divBdr>
        <w:top w:val="none" w:sz="0" w:space="0" w:color="auto"/>
        <w:left w:val="none" w:sz="0" w:space="0" w:color="auto"/>
        <w:bottom w:val="none" w:sz="0" w:space="0" w:color="auto"/>
        <w:right w:val="none" w:sz="0" w:space="0" w:color="auto"/>
      </w:divBdr>
      <w:divsChild>
        <w:div w:id="170534980">
          <w:marLeft w:val="0"/>
          <w:marRight w:val="0"/>
          <w:marTop w:val="0"/>
          <w:marBottom w:val="0"/>
          <w:divBdr>
            <w:top w:val="none" w:sz="0" w:space="0" w:color="auto"/>
            <w:left w:val="none" w:sz="0" w:space="0" w:color="auto"/>
            <w:bottom w:val="none" w:sz="0" w:space="0" w:color="auto"/>
            <w:right w:val="none" w:sz="0" w:space="0" w:color="auto"/>
          </w:divBdr>
          <w:divsChild>
            <w:div w:id="318269634">
              <w:marLeft w:val="0"/>
              <w:marRight w:val="0"/>
              <w:marTop w:val="0"/>
              <w:marBottom w:val="0"/>
              <w:divBdr>
                <w:top w:val="none" w:sz="0" w:space="0" w:color="auto"/>
                <w:left w:val="none" w:sz="0" w:space="0" w:color="auto"/>
                <w:bottom w:val="none" w:sz="0" w:space="0" w:color="auto"/>
                <w:right w:val="none" w:sz="0" w:space="0" w:color="auto"/>
              </w:divBdr>
            </w:div>
          </w:divsChild>
        </w:div>
        <w:div w:id="1638946527">
          <w:marLeft w:val="0"/>
          <w:marRight w:val="0"/>
          <w:marTop w:val="0"/>
          <w:marBottom w:val="0"/>
          <w:divBdr>
            <w:top w:val="none" w:sz="0" w:space="0" w:color="auto"/>
            <w:left w:val="none" w:sz="0" w:space="0" w:color="auto"/>
            <w:bottom w:val="none" w:sz="0" w:space="0" w:color="auto"/>
            <w:right w:val="none" w:sz="0" w:space="0" w:color="auto"/>
          </w:divBdr>
          <w:divsChild>
            <w:div w:id="1319454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40946832">
      <w:bodyDiv w:val="1"/>
      <w:marLeft w:val="0"/>
      <w:marRight w:val="0"/>
      <w:marTop w:val="0"/>
      <w:marBottom w:val="0"/>
      <w:divBdr>
        <w:top w:val="none" w:sz="0" w:space="0" w:color="auto"/>
        <w:left w:val="none" w:sz="0" w:space="0" w:color="auto"/>
        <w:bottom w:val="none" w:sz="0" w:space="0" w:color="auto"/>
        <w:right w:val="none" w:sz="0" w:space="0" w:color="auto"/>
      </w:divBdr>
      <w:divsChild>
        <w:div w:id="1673413562">
          <w:marLeft w:val="0"/>
          <w:marRight w:val="0"/>
          <w:marTop w:val="0"/>
          <w:marBottom w:val="0"/>
          <w:divBdr>
            <w:top w:val="none" w:sz="0" w:space="0" w:color="auto"/>
            <w:left w:val="none" w:sz="0" w:space="0" w:color="auto"/>
            <w:bottom w:val="none" w:sz="0" w:space="0" w:color="auto"/>
            <w:right w:val="none" w:sz="0" w:space="0" w:color="auto"/>
          </w:divBdr>
          <w:divsChild>
            <w:div w:id="92558685">
              <w:marLeft w:val="0"/>
              <w:marRight w:val="0"/>
              <w:marTop w:val="0"/>
              <w:marBottom w:val="0"/>
              <w:divBdr>
                <w:top w:val="none" w:sz="0" w:space="0" w:color="auto"/>
                <w:left w:val="none" w:sz="0" w:space="0" w:color="auto"/>
                <w:bottom w:val="none" w:sz="0" w:space="0" w:color="auto"/>
                <w:right w:val="none" w:sz="0" w:space="0" w:color="auto"/>
              </w:divBdr>
            </w:div>
          </w:divsChild>
        </w:div>
        <w:div w:id="493569037">
          <w:marLeft w:val="0"/>
          <w:marRight w:val="0"/>
          <w:marTop w:val="0"/>
          <w:marBottom w:val="0"/>
          <w:divBdr>
            <w:top w:val="none" w:sz="0" w:space="0" w:color="auto"/>
            <w:left w:val="none" w:sz="0" w:space="0" w:color="auto"/>
            <w:bottom w:val="none" w:sz="0" w:space="0" w:color="auto"/>
            <w:right w:val="none" w:sz="0" w:space="0" w:color="auto"/>
          </w:divBdr>
          <w:divsChild>
            <w:div w:id="16597659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8656050">
      <w:bodyDiv w:val="1"/>
      <w:marLeft w:val="0"/>
      <w:marRight w:val="0"/>
      <w:marTop w:val="0"/>
      <w:marBottom w:val="0"/>
      <w:divBdr>
        <w:top w:val="none" w:sz="0" w:space="0" w:color="auto"/>
        <w:left w:val="none" w:sz="0" w:space="0" w:color="auto"/>
        <w:bottom w:val="none" w:sz="0" w:space="0" w:color="auto"/>
        <w:right w:val="none" w:sz="0" w:space="0" w:color="auto"/>
      </w:divBdr>
    </w:div>
    <w:div w:id="1441754785">
      <w:bodyDiv w:val="1"/>
      <w:marLeft w:val="0"/>
      <w:marRight w:val="0"/>
      <w:marTop w:val="0"/>
      <w:marBottom w:val="0"/>
      <w:divBdr>
        <w:top w:val="none" w:sz="0" w:space="0" w:color="auto"/>
        <w:left w:val="none" w:sz="0" w:space="0" w:color="auto"/>
        <w:bottom w:val="none" w:sz="0" w:space="0" w:color="auto"/>
        <w:right w:val="none" w:sz="0" w:space="0" w:color="auto"/>
      </w:divBdr>
    </w:div>
    <w:div w:id="1448237359">
      <w:bodyDiv w:val="1"/>
      <w:marLeft w:val="0"/>
      <w:marRight w:val="0"/>
      <w:marTop w:val="0"/>
      <w:marBottom w:val="0"/>
      <w:divBdr>
        <w:top w:val="none" w:sz="0" w:space="0" w:color="auto"/>
        <w:left w:val="none" w:sz="0" w:space="0" w:color="auto"/>
        <w:bottom w:val="none" w:sz="0" w:space="0" w:color="auto"/>
        <w:right w:val="none" w:sz="0" w:space="0" w:color="auto"/>
      </w:divBdr>
    </w:div>
    <w:div w:id="1709840248">
      <w:bodyDiv w:val="1"/>
      <w:marLeft w:val="0"/>
      <w:marRight w:val="0"/>
      <w:marTop w:val="0"/>
      <w:marBottom w:val="0"/>
      <w:divBdr>
        <w:top w:val="none" w:sz="0" w:space="0" w:color="auto"/>
        <w:left w:val="none" w:sz="0" w:space="0" w:color="auto"/>
        <w:bottom w:val="none" w:sz="0" w:space="0" w:color="auto"/>
        <w:right w:val="none" w:sz="0" w:space="0" w:color="auto"/>
      </w:divBdr>
    </w:div>
    <w:div w:id="1754888416">
      <w:bodyDiv w:val="1"/>
      <w:marLeft w:val="0"/>
      <w:marRight w:val="0"/>
      <w:marTop w:val="0"/>
      <w:marBottom w:val="0"/>
      <w:divBdr>
        <w:top w:val="none" w:sz="0" w:space="0" w:color="auto"/>
        <w:left w:val="none" w:sz="0" w:space="0" w:color="auto"/>
        <w:bottom w:val="none" w:sz="0" w:space="0" w:color="auto"/>
        <w:right w:val="none" w:sz="0" w:space="0" w:color="auto"/>
      </w:divBdr>
    </w:div>
    <w:div w:id="1923878400">
      <w:bodyDiv w:val="1"/>
      <w:marLeft w:val="0"/>
      <w:marRight w:val="0"/>
      <w:marTop w:val="0"/>
      <w:marBottom w:val="0"/>
      <w:divBdr>
        <w:top w:val="none" w:sz="0" w:space="0" w:color="auto"/>
        <w:left w:val="none" w:sz="0" w:space="0" w:color="auto"/>
        <w:bottom w:val="none" w:sz="0" w:space="0" w:color="auto"/>
        <w:right w:val="none" w:sz="0" w:space="0" w:color="auto"/>
      </w:divBdr>
    </w:div>
    <w:div w:id="2063358124">
      <w:bodyDiv w:val="1"/>
      <w:marLeft w:val="0"/>
      <w:marRight w:val="0"/>
      <w:marTop w:val="0"/>
      <w:marBottom w:val="0"/>
      <w:divBdr>
        <w:top w:val="none" w:sz="0" w:space="0" w:color="auto"/>
        <w:left w:val="none" w:sz="0" w:space="0" w:color="auto"/>
        <w:bottom w:val="none" w:sz="0" w:space="0" w:color="auto"/>
        <w:right w:val="none" w:sz="0" w:space="0" w:color="auto"/>
      </w:divBdr>
    </w:div>
    <w:div w:id="2081173443">
      <w:bodyDiv w:val="1"/>
      <w:marLeft w:val="0"/>
      <w:marRight w:val="0"/>
      <w:marTop w:val="0"/>
      <w:marBottom w:val="0"/>
      <w:divBdr>
        <w:top w:val="none" w:sz="0" w:space="0" w:color="auto"/>
        <w:left w:val="none" w:sz="0" w:space="0" w:color="auto"/>
        <w:bottom w:val="none" w:sz="0" w:space="0" w:color="auto"/>
        <w:right w:val="none" w:sz="0" w:space="0" w:color="auto"/>
      </w:divBdr>
    </w:div>
    <w:div w:id="2129857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5</Pages>
  <Words>1686</Words>
  <Characters>9950</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Department of Justice and Equality</Company>
  <LinksUpToDate>false</LinksUpToDate>
  <CharactersWithSpaces>11613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Unicom Praha</dc:creator>
  <cp:keywords/>
  <dc:description/>
  <cp:lastModifiedBy>Veronika Slováčková</cp:lastModifiedBy>
  <cp:revision>18</cp:revision>
  <dcterms:created xsi:type="dcterms:W3CDTF">2024-05-05T21:39:00Z</dcterms:created>
  <dcterms:modified xsi:type="dcterms:W3CDTF">2025-10-17T11:15:00Z</dcterms:modified>
</cp:coreProperties>
</file>